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F6C05" w14:textId="6E45B114" w:rsidR="009B1FF1" w:rsidRPr="009B1FF1" w:rsidRDefault="00F92944" w:rsidP="008D59F9">
      <w:pPr>
        <w:spacing w:after="600" w:line="240" w:lineRule="auto"/>
        <w:ind w:left="720"/>
        <w:jc w:val="center"/>
      </w:pPr>
      <w:r>
        <w:rPr>
          <w:b/>
          <w:caps/>
        </w:rPr>
        <w:t>Procédure</w:t>
      </w:r>
      <w:r>
        <w:rPr>
          <w:b/>
        </w:rPr>
        <w:t xml:space="preserve"> LÉGISLATIVE ORDINAIRE</w:t>
      </w:r>
    </w:p>
    <w:p w14:paraId="65717952" w14:textId="74FB1791" w:rsidR="00DC568A" w:rsidRPr="00520204" w:rsidRDefault="009B1FF1" w:rsidP="00DC568A">
      <w:pPr>
        <w:spacing w:after="600" w:line="240" w:lineRule="auto"/>
        <w:jc w:val="center"/>
        <w:rPr>
          <w:b/>
          <w:bCs/>
          <w:szCs w:val="24"/>
        </w:rPr>
      </w:pPr>
      <w:r>
        <w:rPr>
          <w:b/>
        </w:rPr>
        <w:t>Suite donnée à la résolution législative du Parlement européen sur la proposition de règlement du Parlement européen et du Conseil modifiant le règlement (UE) 2021/2115 en ce qui concerne le système de conditionnalité, les types d’intervention sous la forme de paiements directs, les types d’intervention dans certains secteurs et dans le cadre du développement rural et les rapports annuels de performance, ainsi que le règlement (UE) 2021/2116 en ce qui concerne la gouvernance des données et de l’interopérabilité, la suspension des paiements liée à l’apurement annuel des performances et les contrôles et les sanctions</w:t>
      </w:r>
    </w:p>
    <w:p w14:paraId="5481E768" w14:textId="5FC4065E" w:rsidR="002B7441" w:rsidRPr="00D6407D" w:rsidRDefault="002B7441" w:rsidP="00D05171">
      <w:pPr>
        <w:spacing w:after="240"/>
        <w:ind w:left="567" w:hanging="567"/>
      </w:pPr>
      <w:r>
        <w:rPr>
          <w:b/>
        </w:rPr>
        <w:t>1.</w:t>
      </w:r>
      <w:r>
        <w:tab/>
      </w:r>
      <w:r>
        <w:rPr>
          <w:b/>
        </w:rPr>
        <w:t xml:space="preserve">Rapporteur: </w:t>
      </w:r>
      <w:r>
        <w:t>André Rodrigues (Alliance Progressiste des Socialistes et Démocrates / PT)</w:t>
      </w:r>
    </w:p>
    <w:p w14:paraId="5E579AB4" w14:textId="4FD7972C" w:rsidR="00605133" w:rsidRPr="00B86754" w:rsidRDefault="002B7441" w:rsidP="00606ED3">
      <w:pPr>
        <w:spacing w:after="240"/>
        <w:ind w:left="567" w:hanging="567"/>
        <w:rPr>
          <w:bCs/>
          <w:i/>
          <w:iCs/>
        </w:rPr>
      </w:pPr>
      <w:r>
        <w:rPr>
          <w:b/>
        </w:rPr>
        <w:t>2.</w:t>
      </w:r>
      <w:r>
        <w:tab/>
      </w:r>
      <w:r>
        <w:rPr>
          <w:b/>
        </w:rPr>
        <w:t>Références:</w:t>
      </w:r>
      <w:r>
        <w:t xml:space="preserve"> 2025/0236(COD)</w:t>
      </w:r>
      <w:r>
        <w:rPr>
          <w:i/>
        </w:rPr>
        <w:t xml:space="preserve"> </w:t>
      </w:r>
      <w:r>
        <w:t xml:space="preserve">/ </w:t>
      </w:r>
      <w:hyperlink r:id="rId11" w:tgtFrame="externalDocument" w:history="1">
        <w:r>
          <w:t>A10-</w:t>
        </w:r>
      </w:hyperlink>
      <w:r>
        <w:t>0164/2025 / P10_TA(2025)0321</w:t>
      </w:r>
    </w:p>
    <w:p w14:paraId="474B79A2" w14:textId="7C39A3E1" w:rsidR="002B7441" w:rsidRPr="00D745DE" w:rsidRDefault="002B7441" w:rsidP="00D05171">
      <w:pPr>
        <w:spacing w:after="240"/>
        <w:ind w:left="567" w:hanging="567"/>
      </w:pPr>
      <w:r>
        <w:rPr>
          <w:b/>
        </w:rPr>
        <w:t>3.</w:t>
      </w:r>
      <w:r>
        <w:tab/>
      </w:r>
      <w:r>
        <w:rPr>
          <w:b/>
        </w:rPr>
        <w:t>Date d’adoption de la résolution:</w:t>
      </w:r>
      <w:r>
        <w:t xml:space="preserve"> 16 décembre 2025</w:t>
      </w:r>
    </w:p>
    <w:p w14:paraId="35860E93" w14:textId="0CDB4386" w:rsidR="002B7441" w:rsidRPr="00FC20C4" w:rsidRDefault="002B7441" w:rsidP="00D05171">
      <w:pPr>
        <w:spacing w:after="240"/>
        <w:ind w:left="567" w:hanging="567"/>
        <w:jc w:val="both"/>
      </w:pPr>
      <w:r>
        <w:rPr>
          <w:b/>
        </w:rPr>
        <w:t>4.</w:t>
      </w:r>
      <w:r>
        <w:tab/>
      </w:r>
      <w:r>
        <w:rPr>
          <w:b/>
        </w:rPr>
        <w:t xml:space="preserve">Base juridique: </w:t>
      </w:r>
      <w:r>
        <w:t xml:space="preserve"> article 43, paragraphe 2, du traité sur le fonctionnement de l’Union européenne (TFUE)</w:t>
      </w:r>
    </w:p>
    <w:p w14:paraId="5DE3F035" w14:textId="4AF2C76A" w:rsidR="00DE04F8" w:rsidRPr="00FC20C4" w:rsidRDefault="002B7441" w:rsidP="00DE04F8">
      <w:pPr>
        <w:spacing w:after="240"/>
        <w:ind w:left="567" w:hanging="567"/>
        <w:jc w:val="both"/>
        <w:rPr>
          <w:iCs/>
          <w:szCs w:val="24"/>
        </w:rPr>
      </w:pPr>
      <w:r>
        <w:rPr>
          <w:b/>
        </w:rPr>
        <w:t>5.</w:t>
      </w:r>
      <w:r>
        <w:tab/>
      </w:r>
      <w:r>
        <w:rPr>
          <w:b/>
        </w:rPr>
        <w:t>Commission parlementaire compétente:</w:t>
      </w:r>
      <w:r>
        <w:t xml:space="preserve"> commission de l’agriculture</w:t>
      </w:r>
      <w:r>
        <w:rPr>
          <w:i/>
        </w:rPr>
        <w:t xml:space="preserve"> </w:t>
      </w:r>
      <w:r>
        <w:t>et du développement rural</w:t>
      </w:r>
    </w:p>
    <w:p w14:paraId="4C23ED87" w14:textId="261B0D6B" w:rsidR="001265A9" w:rsidRDefault="002B7441" w:rsidP="00D05171">
      <w:pPr>
        <w:tabs>
          <w:tab w:val="left" w:pos="567"/>
        </w:tabs>
        <w:spacing w:after="200" w:line="276" w:lineRule="auto"/>
        <w:rPr>
          <w:color w:val="000000"/>
          <w:szCs w:val="24"/>
        </w:rPr>
      </w:pPr>
      <w:r>
        <w:rPr>
          <w:b/>
        </w:rPr>
        <w:t>6.</w:t>
      </w:r>
      <w:r>
        <w:tab/>
      </w:r>
      <w:r>
        <w:rPr>
          <w:b/>
        </w:rPr>
        <w:t>Position de la Commission:</w:t>
      </w:r>
      <w:r>
        <w:rPr>
          <w:color w:val="000000"/>
          <w:sz w:val="22"/>
        </w:rPr>
        <w:t xml:space="preserve"> </w:t>
      </w:r>
      <w:r>
        <w:rPr>
          <w:color w:val="000000"/>
        </w:rPr>
        <w:t>accepte tous les amendements de compromis (convenus lors du dernier trilogue).</w:t>
      </w:r>
    </w:p>
    <w:p w14:paraId="60A60495" w14:textId="52BA1498" w:rsidR="00520204" w:rsidRDefault="00E51303" w:rsidP="00520204">
      <w:pPr>
        <w:tabs>
          <w:tab w:val="left" w:pos="567"/>
        </w:tabs>
        <w:spacing w:after="200" w:line="276" w:lineRule="auto"/>
        <w:rPr>
          <w:iCs/>
          <w:color w:val="000000"/>
        </w:rPr>
      </w:pPr>
      <w:r>
        <w:rPr>
          <w:u w:val="single"/>
        </w:rPr>
        <w:t>La déclaration suivante</w:t>
      </w:r>
      <w:r>
        <w:t xml:space="preserve"> sur la bonne condition agricole et environnementale 5 (BCAE) 5 «Gestion du travail du sol en vue de réduire le risque de dégradation des sols, en tenant compte de la déclivité» </w:t>
      </w:r>
      <w:r>
        <w:rPr>
          <w:u w:val="single"/>
        </w:rPr>
        <w:t>est inscrite au procès-verbal de la session plénière du Parlement européen</w:t>
      </w:r>
      <w:r>
        <w:t>:</w:t>
      </w:r>
    </w:p>
    <w:p w14:paraId="24D40B6A" w14:textId="49BE0609" w:rsidR="00520204" w:rsidRPr="003457DF" w:rsidRDefault="00E51303" w:rsidP="00520204">
      <w:pPr>
        <w:tabs>
          <w:tab w:val="left" w:pos="567"/>
        </w:tabs>
        <w:spacing w:after="200" w:line="276" w:lineRule="auto"/>
        <w:rPr>
          <w:i/>
          <w:color w:val="000000"/>
        </w:rPr>
      </w:pPr>
      <w:r>
        <w:rPr>
          <w:color w:val="000000"/>
        </w:rPr>
        <w:t xml:space="preserve"> «</w:t>
      </w:r>
      <w:r>
        <w:rPr>
          <w:i/>
          <w:color w:val="000000"/>
        </w:rPr>
        <w:t>L’approche de la Commission consiste à maintenir l’objectif de la BCAE 5, afin de garantir une gestion minimale des terres qui tient compte des conditions locales spécifiques en vue de limiter l’érosion des sols, tout en veillant à ce que la mise en œuvre reste pratique, fondée sur les risques et équitable pour les agriculteurs, et elle est parfaitement cohérente avec les objectifs généraux de simplification, de durabilité et de réaction aux crises de la politique agricole commune. Depuis 2024, à la suite de la première modification visant à simplifier la PAC, les États membres disposent d’une plus grande marge de manœuvre pour définir et mettre en œuvre la BCAE 5.</w:t>
      </w:r>
    </w:p>
    <w:p w14:paraId="219C8439" w14:textId="2E051A4B" w:rsidR="00862937" w:rsidRPr="003457DF" w:rsidRDefault="00520204" w:rsidP="15B9E2FE">
      <w:pPr>
        <w:tabs>
          <w:tab w:val="left" w:pos="567"/>
        </w:tabs>
        <w:spacing w:after="200" w:line="276" w:lineRule="auto"/>
        <w:rPr>
          <w:i/>
          <w:color w:val="000000" w:themeColor="text1"/>
        </w:rPr>
      </w:pPr>
      <w:r>
        <w:rPr>
          <w:i/>
          <w:color w:val="000000" w:themeColor="text1"/>
        </w:rPr>
        <w:t xml:space="preserve">À la suite de l’adoption de ce train de mesures de simplification “omnibus” et compte tenu de l’acte de simplification de 2024, la Commission examinera d’ici au 31 décembre 2025 les documents visant à clarifier la législation, dans le cadre de son effort continu de simplification, pour s’assurer que les États membres puissent bénéficier pleinement des simplifications disponibles dès l’entrée en vigueur du règlement concerné. Le contenu de ces </w:t>
      </w:r>
      <w:r>
        <w:rPr>
          <w:i/>
          <w:color w:val="000000" w:themeColor="text1"/>
        </w:rPr>
        <w:lastRenderedPageBreak/>
        <w:t>documents sera clarifié et modifié au besoin, compte tenu du nouveau cadre juridique et de la nécessité d’une mise en œuvre proportionnée et pragmatique des règles.</w:t>
      </w:r>
      <w:r>
        <w:rPr>
          <w:color w:val="000000" w:themeColor="text1"/>
        </w:rPr>
        <w:t>»</w:t>
      </w:r>
    </w:p>
    <w:p w14:paraId="4EEE6A77" w14:textId="477BACBD" w:rsidR="00E51303" w:rsidRPr="00E51303" w:rsidRDefault="00CD7DC5" w:rsidP="15B9E2FE">
      <w:pPr>
        <w:tabs>
          <w:tab w:val="left" w:pos="567"/>
        </w:tabs>
        <w:spacing w:after="200" w:line="276" w:lineRule="auto"/>
        <w:rPr>
          <w:iCs/>
          <w:color w:val="000000"/>
        </w:rPr>
      </w:pPr>
      <w:r>
        <w:rPr>
          <w:color w:val="000000" w:themeColor="text1"/>
        </w:rPr>
        <w:t>La Commission procède actuellement à l’examen des documents susmentionnés et le résultat sera prochainement transmis aux colégislateurs. Le retard est dû à la nécessité de déterminer la portée exacte des documents devant faire l’objet dudit examen.</w:t>
      </w:r>
    </w:p>
    <w:p w14:paraId="4C86F67B" w14:textId="77777777" w:rsidR="00862937" w:rsidRDefault="00862937" w:rsidP="00D05171">
      <w:pPr>
        <w:tabs>
          <w:tab w:val="left" w:pos="567"/>
        </w:tabs>
        <w:spacing w:after="200" w:line="276" w:lineRule="auto"/>
        <w:rPr>
          <w:color w:val="000000"/>
          <w:szCs w:val="24"/>
          <w:lang w:val="en-GB"/>
        </w:rPr>
      </w:pPr>
    </w:p>
    <w:sectPr w:rsidR="00862937" w:rsidSect="00C85D7E">
      <w:headerReference w:type="even" r:id="rId12"/>
      <w:headerReference w:type="default" r:id="rId13"/>
      <w:footerReference w:type="even" r:id="rId14"/>
      <w:footerReference w:type="default" r:id="rId15"/>
      <w:headerReference w:type="first" r:id="rId16"/>
      <w:footerReference w:type="first" r:id="rId17"/>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2689F" w14:textId="77777777" w:rsidR="00AD42FC" w:rsidRDefault="00AD42FC">
      <w:pPr>
        <w:spacing w:line="240" w:lineRule="auto"/>
      </w:pPr>
      <w:r>
        <w:separator/>
      </w:r>
    </w:p>
  </w:endnote>
  <w:endnote w:type="continuationSeparator" w:id="0">
    <w:p w14:paraId="64F97E5B" w14:textId="77777777" w:rsidR="00AD42FC" w:rsidRDefault="00AD42FC">
      <w:pPr>
        <w:spacing w:line="240" w:lineRule="auto"/>
      </w:pPr>
      <w:r>
        <w:continuationSeparator/>
      </w:r>
    </w:p>
  </w:endnote>
  <w:endnote w:type="continuationNotice" w:id="1">
    <w:p w14:paraId="5FC6D037" w14:textId="77777777" w:rsidR="00AD42FC" w:rsidRDefault="00AD42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t>2</w:t>
        </w:r>
        <w: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6FA" w14:textId="77777777" w:rsidR="00EC7926" w:rsidRDefault="00EC7926" w:rsidP="008A1A0C">
    <w:pPr>
      <w:pStyle w:val="Footer"/>
      <w:jc w:val="both"/>
    </w:pPr>
    <w:r>
      <w:t>Commission européenne, B-1049 Bruxelles – Belgique, Téléphone: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E4BE3" w14:textId="77777777" w:rsidR="00AD42FC" w:rsidRDefault="00AD42FC">
      <w:pPr>
        <w:spacing w:line="240" w:lineRule="auto"/>
      </w:pPr>
      <w:r>
        <w:separator/>
      </w:r>
    </w:p>
  </w:footnote>
  <w:footnote w:type="continuationSeparator" w:id="0">
    <w:p w14:paraId="7CCE0A28" w14:textId="77777777" w:rsidR="00AD42FC" w:rsidRDefault="00AD42FC">
      <w:pPr>
        <w:spacing w:line="240" w:lineRule="auto"/>
      </w:pPr>
      <w:r>
        <w:continuationSeparator/>
      </w:r>
    </w:p>
  </w:footnote>
  <w:footnote w:type="continuationNotice" w:id="1">
    <w:p w14:paraId="55526DCD" w14:textId="77777777" w:rsidR="00AD42FC" w:rsidRDefault="00AD42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0" w:nlCheck="1" w:checkStyle="0"/>
  <w:activeWritingStyle w:appName="MSWord" w:lang="en-GB" w:vendorID="64" w:dllVersion="0" w:nlCheck="1" w:checkStyle="0"/>
  <w:activeWritingStyle w:appName="MSWord" w:lang="en-IE"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12EA"/>
    <w:rsid w:val="000718ED"/>
    <w:rsid w:val="0007573A"/>
    <w:rsid w:val="00076D8B"/>
    <w:rsid w:val="00080078"/>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3C"/>
    <w:rsid w:val="000C60D6"/>
    <w:rsid w:val="000C6946"/>
    <w:rsid w:val="000C7097"/>
    <w:rsid w:val="000C79B3"/>
    <w:rsid w:val="000D0396"/>
    <w:rsid w:val="000D0DB1"/>
    <w:rsid w:val="000D10D4"/>
    <w:rsid w:val="000D4FA6"/>
    <w:rsid w:val="000D500B"/>
    <w:rsid w:val="000D59CD"/>
    <w:rsid w:val="000D65C2"/>
    <w:rsid w:val="000D6C11"/>
    <w:rsid w:val="000D6FC4"/>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3E1D"/>
    <w:rsid w:val="00135201"/>
    <w:rsid w:val="00136113"/>
    <w:rsid w:val="0013685B"/>
    <w:rsid w:val="001438BD"/>
    <w:rsid w:val="00146C99"/>
    <w:rsid w:val="00147148"/>
    <w:rsid w:val="00147EC4"/>
    <w:rsid w:val="00151884"/>
    <w:rsid w:val="001522AD"/>
    <w:rsid w:val="00153310"/>
    <w:rsid w:val="00156619"/>
    <w:rsid w:val="00157687"/>
    <w:rsid w:val="0016035E"/>
    <w:rsid w:val="00160DCA"/>
    <w:rsid w:val="00161259"/>
    <w:rsid w:val="00164E15"/>
    <w:rsid w:val="001653DC"/>
    <w:rsid w:val="00165F24"/>
    <w:rsid w:val="0017144D"/>
    <w:rsid w:val="001731F2"/>
    <w:rsid w:val="001739C1"/>
    <w:rsid w:val="00175CEF"/>
    <w:rsid w:val="00177CD5"/>
    <w:rsid w:val="00177E49"/>
    <w:rsid w:val="001801F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38B2"/>
    <w:rsid w:val="001F4150"/>
    <w:rsid w:val="001F44D5"/>
    <w:rsid w:val="001F646B"/>
    <w:rsid w:val="001F778F"/>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67CCA"/>
    <w:rsid w:val="002706B7"/>
    <w:rsid w:val="002711BA"/>
    <w:rsid w:val="00271E2E"/>
    <w:rsid w:val="00271FE1"/>
    <w:rsid w:val="00272613"/>
    <w:rsid w:val="0027280C"/>
    <w:rsid w:val="00274F0B"/>
    <w:rsid w:val="00276F5B"/>
    <w:rsid w:val="002800EF"/>
    <w:rsid w:val="00285581"/>
    <w:rsid w:val="00286134"/>
    <w:rsid w:val="0029072A"/>
    <w:rsid w:val="00291A9B"/>
    <w:rsid w:val="00292D27"/>
    <w:rsid w:val="002941B7"/>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22D7"/>
    <w:rsid w:val="003131D1"/>
    <w:rsid w:val="00314DE1"/>
    <w:rsid w:val="003167C9"/>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57DF"/>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A7D90"/>
    <w:rsid w:val="003B184A"/>
    <w:rsid w:val="003B40FD"/>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1D2"/>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6CF4"/>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107C"/>
    <w:rsid w:val="00442283"/>
    <w:rsid w:val="00442299"/>
    <w:rsid w:val="00443292"/>
    <w:rsid w:val="004440DE"/>
    <w:rsid w:val="004513B3"/>
    <w:rsid w:val="004518F8"/>
    <w:rsid w:val="00452FE1"/>
    <w:rsid w:val="004533DF"/>
    <w:rsid w:val="00453F79"/>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323E"/>
    <w:rsid w:val="004A4DD5"/>
    <w:rsid w:val="004A588A"/>
    <w:rsid w:val="004A65B4"/>
    <w:rsid w:val="004B0C97"/>
    <w:rsid w:val="004B3570"/>
    <w:rsid w:val="004B3C82"/>
    <w:rsid w:val="004B751B"/>
    <w:rsid w:val="004C02AD"/>
    <w:rsid w:val="004C2708"/>
    <w:rsid w:val="004C3D46"/>
    <w:rsid w:val="004C761D"/>
    <w:rsid w:val="004D0416"/>
    <w:rsid w:val="004D3828"/>
    <w:rsid w:val="004D3A42"/>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2D2"/>
    <w:rsid w:val="00501994"/>
    <w:rsid w:val="00502F56"/>
    <w:rsid w:val="0050320E"/>
    <w:rsid w:val="005043DB"/>
    <w:rsid w:val="005068E4"/>
    <w:rsid w:val="0051150A"/>
    <w:rsid w:val="00512582"/>
    <w:rsid w:val="00516755"/>
    <w:rsid w:val="00517385"/>
    <w:rsid w:val="00517B51"/>
    <w:rsid w:val="00517EF1"/>
    <w:rsid w:val="0052009A"/>
    <w:rsid w:val="00520204"/>
    <w:rsid w:val="00520D95"/>
    <w:rsid w:val="00521425"/>
    <w:rsid w:val="0052176E"/>
    <w:rsid w:val="00524448"/>
    <w:rsid w:val="0052570C"/>
    <w:rsid w:val="00527253"/>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359B"/>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3981"/>
    <w:rsid w:val="005E4581"/>
    <w:rsid w:val="005E534D"/>
    <w:rsid w:val="005E5C09"/>
    <w:rsid w:val="005E5E1F"/>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A0C"/>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23E5E"/>
    <w:rsid w:val="00633527"/>
    <w:rsid w:val="00635902"/>
    <w:rsid w:val="00636ECF"/>
    <w:rsid w:val="00640D77"/>
    <w:rsid w:val="0064234A"/>
    <w:rsid w:val="00642630"/>
    <w:rsid w:val="00644E59"/>
    <w:rsid w:val="0064526E"/>
    <w:rsid w:val="0064687A"/>
    <w:rsid w:val="00646A03"/>
    <w:rsid w:val="00647A12"/>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A7"/>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451"/>
    <w:rsid w:val="006F370B"/>
    <w:rsid w:val="006F3AF4"/>
    <w:rsid w:val="006F4014"/>
    <w:rsid w:val="006F40D6"/>
    <w:rsid w:val="006F46BC"/>
    <w:rsid w:val="006F6BA8"/>
    <w:rsid w:val="006F7158"/>
    <w:rsid w:val="00703D9F"/>
    <w:rsid w:val="00704311"/>
    <w:rsid w:val="00705FF2"/>
    <w:rsid w:val="007071FE"/>
    <w:rsid w:val="00710815"/>
    <w:rsid w:val="00711C88"/>
    <w:rsid w:val="00711D81"/>
    <w:rsid w:val="0071243C"/>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30BF"/>
    <w:rsid w:val="007641FC"/>
    <w:rsid w:val="007651E6"/>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A59"/>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1462"/>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040"/>
    <w:rsid w:val="008E4B5B"/>
    <w:rsid w:val="008E75F7"/>
    <w:rsid w:val="008F0BFC"/>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48E0"/>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1FF1"/>
    <w:rsid w:val="00A64E90"/>
    <w:rsid w:val="00A6605B"/>
    <w:rsid w:val="00A67C72"/>
    <w:rsid w:val="00A67E25"/>
    <w:rsid w:val="00A70CE1"/>
    <w:rsid w:val="00A7216C"/>
    <w:rsid w:val="00A737A3"/>
    <w:rsid w:val="00A76C9B"/>
    <w:rsid w:val="00A77021"/>
    <w:rsid w:val="00A8048D"/>
    <w:rsid w:val="00A86C93"/>
    <w:rsid w:val="00A904DB"/>
    <w:rsid w:val="00A90F77"/>
    <w:rsid w:val="00A9318F"/>
    <w:rsid w:val="00A93D35"/>
    <w:rsid w:val="00AA5BB7"/>
    <w:rsid w:val="00AA5DF4"/>
    <w:rsid w:val="00AB015D"/>
    <w:rsid w:val="00AB081F"/>
    <w:rsid w:val="00AB0B43"/>
    <w:rsid w:val="00AB0D4C"/>
    <w:rsid w:val="00AB2A2B"/>
    <w:rsid w:val="00AB3592"/>
    <w:rsid w:val="00AB4AC9"/>
    <w:rsid w:val="00AB5DD7"/>
    <w:rsid w:val="00AB67E8"/>
    <w:rsid w:val="00AC0172"/>
    <w:rsid w:val="00AC06F0"/>
    <w:rsid w:val="00AC338E"/>
    <w:rsid w:val="00AC4DEB"/>
    <w:rsid w:val="00AC5B49"/>
    <w:rsid w:val="00AC67B4"/>
    <w:rsid w:val="00AC6F72"/>
    <w:rsid w:val="00AC7032"/>
    <w:rsid w:val="00AC76AF"/>
    <w:rsid w:val="00AC7C3F"/>
    <w:rsid w:val="00AD1298"/>
    <w:rsid w:val="00AD2A8B"/>
    <w:rsid w:val="00AD312B"/>
    <w:rsid w:val="00AD42FC"/>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374BD"/>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128"/>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16A72"/>
    <w:rsid w:val="00C20365"/>
    <w:rsid w:val="00C2099F"/>
    <w:rsid w:val="00C20C27"/>
    <w:rsid w:val="00C22D03"/>
    <w:rsid w:val="00C25C2C"/>
    <w:rsid w:val="00C269B7"/>
    <w:rsid w:val="00C3118E"/>
    <w:rsid w:val="00C325BF"/>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5DBA"/>
    <w:rsid w:val="00C55F07"/>
    <w:rsid w:val="00C572FF"/>
    <w:rsid w:val="00C60C16"/>
    <w:rsid w:val="00C60DCB"/>
    <w:rsid w:val="00C61C47"/>
    <w:rsid w:val="00C6361A"/>
    <w:rsid w:val="00C64277"/>
    <w:rsid w:val="00C654DB"/>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D7DC5"/>
    <w:rsid w:val="00CE34A5"/>
    <w:rsid w:val="00CE3BEF"/>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BD5"/>
    <w:rsid w:val="00D13DCD"/>
    <w:rsid w:val="00D143EF"/>
    <w:rsid w:val="00D14C62"/>
    <w:rsid w:val="00D16557"/>
    <w:rsid w:val="00D1691C"/>
    <w:rsid w:val="00D171CC"/>
    <w:rsid w:val="00D17888"/>
    <w:rsid w:val="00D17961"/>
    <w:rsid w:val="00D2021B"/>
    <w:rsid w:val="00D2136E"/>
    <w:rsid w:val="00D22119"/>
    <w:rsid w:val="00D22989"/>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5DE"/>
    <w:rsid w:val="00D746E6"/>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1303"/>
    <w:rsid w:val="00E52CA9"/>
    <w:rsid w:val="00E57DE1"/>
    <w:rsid w:val="00E6244A"/>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1BCD"/>
    <w:rsid w:val="00EA3439"/>
    <w:rsid w:val="00EA38F2"/>
    <w:rsid w:val="00EA40FB"/>
    <w:rsid w:val="00EA4AAC"/>
    <w:rsid w:val="00EA4E89"/>
    <w:rsid w:val="00EB2178"/>
    <w:rsid w:val="00EB4348"/>
    <w:rsid w:val="00EB6068"/>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83E"/>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0C4"/>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3EAA"/>
    <w:rsid w:val="00FE46FF"/>
    <w:rsid w:val="00FE4EF2"/>
    <w:rsid w:val="00FE62DF"/>
    <w:rsid w:val="00FE6C7E"/>
    <w:rsid w:val="00FE7491"/>
    <w:rsid w:val="00FE765B"/>
    <w:rsid w:val="00FE7B00"/>
    <w:rsid w:val="00FE7DBA"/>
    <w:rsid w:val="00FF012B"/>
    <w:rsid w:val="00FF0C02"/>
    <w:rsid w:val="00FF1736"/>
    <w:rsid w:val="00FF3537"/>
    <w:rsid w:val="00FF39C1"/>
    <w:rsid w:val="00FF46C0"/>
    <w:rsid w:val="00FF71DA"/>
    <w:rsid w:val="00FF7AE0"/>
    <w:rsid w:val="00FF7F71"/>
    <w:rsid w:val="02D86B7B"/>
    <w:rsid w:val="073D100E"/>
    <w:rsid w:val="075BF409"/>
    <w:rsid w:val="15B9E2FE"/>
    <w:rsid w:val="24020B9C"/>
    <w:rsid w:val="3A2EF6A5"/>
    <w:rsid w:val="3DF713ED"/>
    <w:rsid w:val="4337917C"/>
    <w:rsid w:val="4A77A29E"/>
    <w:rsid w:val="4BA2F45D"/>
    <w:rsid w:val="63172F81"/>
    <w:rsid w:val="63CFAA8F"/>
    <w:rsid w:val="64D3A5FD"/>
    <w:rsid w:val="68E048A9"/>
    <w:rsid w:val="7A315423"/>
    <w:rsid w:val="7C549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FR"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FR"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FR"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FR"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FR"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rPr>
  </w:style>
  <w:style w:type="paragraph" w:customStyle="1" w:styleId="basictitle">
    <w:name w:val="basic_title"/>
    <w:basedOn w:val="Normal"/>
    <w:rsid w:val="00D41357"/>
    <w:pPr>
      <w:spacing w:before="100" w:beforeAutospacing="1" w:after="165" w:line="240" w:lineRule="auto"/>
    </w:pPr>
    <w:rPr>
      <w:b/>
      <w:bCs/>
      <w:sz w:val="28"/>
      <w:szCs w:val="28"/>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FR"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FR"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FR"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475949890">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26720709">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3865173">
      <w:bodyDiv w:val="1"/>
      <w:marLeft w:val="0"/>
      <w:marRight w:val="0"/>
      <w:marTop w:val="0"/>
      <w:marBottom w:val="0"/>
      <w:divBdr>
        <w:top w:val="none" w:sz="0" w:space="0" w:color="auto"/>
        <w:left w:val="none" w:sz="0" w:space="0" w:color="auto"/>
        <w:bottom w:val="none" w:sz="0" w:space="0" w:color="auto"/>
        <w:right w:val="none" w:sz="0" w:space="0" w:color="auto"/>
      </w:divBdr>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887643766">
      <w:bodyDiv w:val="1"/>
      <w:marLeft w:val="0"/>
      <w:marRight w:val="0"/>
      <w:marTop w:val="0"/>
      <w:marBottom w:val="0"/>
      <w:divBdr>
        <w:top w:val="none" w:sz="0" w:space="0" w:color="auto"/>
        <w:left w:val="none" w:sz="0" w:space="0" w:color="auto"/>
        <w:bottom w:val="none" w:sz="0" w:space="0" w:color="auto"/>
        <w:right w:val="none" w:sz="0" w:space="0" w:color="auto"/>
      </w:divBdr>
    </w:div>
    <w:div w:id="900093770">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71058522">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268121307">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544684648">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1331656">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uroparl.europa.eu/sides/getDoc.do?type=REPORT&amp;mode=XML&amp;reference=A8-2016-0345&amp;language=F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2.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3.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2359B953-6BDB-43E1-BEC2-28A5FD20A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476</Words>
  <Characters>2653</Characters>
  <Application>Microsoft Office Word</Application>
  <DocSecurity>0</DocSecurity>
  <Lines>43</Lines>
  <Paragraphs>14</Paragraphs>
  <ScaleCrop>false</ScaleCrop>
  <Company>European Commission</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STEPIEN Beata (SG)</dc:creator>
  <cp:keywords/>
  <cp:lastModifiedBy>DELBAER Gerda (SG)</cp:lastModifiedBy>
  <cp:revision>2</cp:revision>
  <cp:lastPrinted>2019-01-09T23:37:00Z</cp:lastPrinted>
  <dcterms:created xsi:type="dcterms:W3CDTF">2026-03-09T10:50:00Z</dcterms:created>
  <dcterms:modified xsi:type="dcterms:W3CDTF">2026-03-09T10:50:00Z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y fmtid="{D5CDD505-2E9C-101B-9397-08002B2CF9AE}" pid="11" name="APP0">
    <vt:lpwstr>28</vt:lpwstr>
  </property>
</Properties>
</file>