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1589C" w14:paraId="44F3BBE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6F729CB" w14:textId="77777777" w:rsidR="00751A4A" w:rsidRPr="00B1589C" w:rsidRDefault="001D5E87" w:rsidP="0010095E">
            <w:pPr>
              <w:pStyle w:val="EPName"/>
            </w:pPr>
            <w:r w:rsidRPr="00B1589C">
              <w:t>Evropski parlament</w:t>
            </w:r>
          </w:p>
          <w:p w14:paraId="230B0772" w14:textId="77777777" w:rsidR="00751A4A" w:rsidRPr="00B1589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1589C">
              <w:t>2024</w:t>
            </w:r>
            <w:r w:rsidR="00817416" w:rsidRPr="00B1589C">
              <w:t>-202</w:t>
            </w:r>
            <w:r w:rsidRPr="00B1589C">
              <w:t>9</w:t>
            </w:r>
          </w:p>
        </w:tc>
        <w:tc>
          <w:tcPr>
            <w:tcW w:w="2268" w:type="dxa"/>
            <w:shd w:val="clear" w:color="auto" w:fill="auto"/>
          </w:tcPr>
          <w:p w14:paraId="79296AD1" w14:textId="77777777" w:rsidR="00751A4A" w:rsidRPr="00B1589C" w:rsidRDefault="00187494" w:rsidP="0010095E">
            <w:pPr>
              <w:pStyle w:val="EPLogo"/>
            </w:pPr>
            <w:r w:rsidRPr="00B1589C">
              <w:rPr>
                <w:noProof/>
                <w:lang w:eastAsia="ja-JP"/>
              </w:rPr>
              <w:drawing>
                <wp:inline distT="0" distB="0" distL="0" distR="0" wp14:anchorId="1EC6977F" wp14:editId="43AE94E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7D516E" w14:textId="77777777" w:rsidR="00D058B8" w:rsidRPr="00B1589C" w:rsidRDefault="00D058B8" w:rsidP="004C5D52">
      <w:pPr>
        <w:pStyle w:val="LineTop"/>
      </w:pPr>
    </w:p>
    <w:p w14:paraId="43A9DD1A" w14:textId="77777777" w:rsidR="00680577" w:rsidRPr="00B1589C" w:rsidRDefault="001D5E87" w:rsidP="00680577">
      <w:pPr>
        <w:pStyle w:val="EPBodyTA1"/>
      </w:pPr>
      <w:r w:rsidRPr="00B1589C">
        <w:t>SPREJETA BESEDILA</w:t>
      </w:r>
    </w:p>
    <w:p w14:paraId="6693F6C0" w14:textId="77777777" w:rsidR="00D058B8" w:rsidRPr="00B1589C" w:rsidRDefault="00D058B8" w:rsidP="00D058B8">
      <w:pPr>
        <w:pStyle w:val="LineBottom"/>
      </w:pPr>
    </w:p>
    <w:p w14:paraId="556E0874" w14:textId="3413A140" w:rsidR="001D5E87" w:rsidRPr="00B1589C" w:rsidRDefault="001D5E87" w:rsidP="001D5E87">
      <w:pPr>
        <w:pStyle w:val="ATHeading1"/>
      </w:pPr>
      <w:bookmarkStart w:id="0" w:name="TANumber"/>
      <w:r w:rsidRPr="00B1589C">
        <w:t>P10_TA(2025)</w:t>
      </w:r>
      <w:bookmarkEnd w:id="0"/>
      <w:r w:rsidR="00B1589C" w:rsidRPr="00B1589C">
        <w:t>0125</w:t>
      </w:r>
    </w:p>
    <w:p w14:paraId="794728C6" w14:textId="77777777" w:rsidR="001D5E87" w:rsidRPr="00B1589C" w:rsidRDefault="001D5E87" w:rsidP="001D5E87">
      <w:pPr>
        <w:pStyle w:val="ATHeading2"/>
      </w:pPr>
      <w:bookmarkStart w:id="1" w:name="title"/>
      <w:r w:rsidRPr="00B1589C">
        <w:t>Makrofinančna pomoč Egiptu</w:t>
      </w:r>
      <w:bookmarkEnd w:id="1"/>
    </w:p>
    <w:p w14:paraId="39F41D94" w14:textId="77777777" w:rsidR="001D5E87" w:rsidRPr="00B1589C" w:rsidRDefault="001D5E87" w:rsidP="001D5E87">
      <w:pPr>
        <w:rPr>
          <w:i/>
          <w:vanish/>
        </w:rPr>
      </w:pPr>
      <w:r w:rsidRPr="00B1589C">
        <w:rPr>
          <w:i/>
        </w:rPr>
        <w:fldChar w:fldCharType="begin"/>
      </w:r>
      <w:r w:rsidRPr="00B1589C">
        <w:rPr>
          <w:i/>
        </w:rPr>
        <w:instrText xml:space="preserve"> TC"(</w:instrText>
      </w:r>
      <w:bookmarkStart w:id="2" w:name="DocNumber"/>
      <w:r w:rsidRPr="00B1589C">
        <w:rPr>
          <w:i/>
        </w:rPr>
        <w:instrText>A10-0037/2025</w:instrText>
      </w:r>
      <w:bookmarkEnd w:id="2"/>
      <w:r w:rsidRPr="00B1589C">
        <w:rPr>
          <w:i/>
        </w:rPr>
        <w:instrText xml:space="preserve"> - Poročevalka: Céline </w:instrText>
      </w:r>
      <w:proofErr w:type="spellStart"/>
      <w:r w:rsidRPr="00B1589C">
        <w:rPr>
          <w:i/>
        </w:rPr>
        <w:instrText>Imart</w:instrText>
      </w:r>
      <w:proofErr w:type="spellEnd"/>
      <w:r w:rsidRPr="00B1589C">
        <w:rPr>
          <w:i/>
        </w:rPr>
        <w:instrText xml:space="preserve">)"\l3 \n&gt; \* MERGEFORMAT </w:instrText>
      </w:r>
      <w:r w:rsidRPr="00B1589C">
        <w:rPr>
          <w:i/>
        </w:rPr>
        <w:fldChar w:fldCharType="end"/>
      </w:r>
    </w:p>
    <w:p w14:paraId="651F9519" w14:textId="77777777" w:rsidR="001D5E87" w:rsidRPr="00B1589C" w:rsidRDefault="001D5E87" w:rsidP="001D5E87">
      <w:pPr>
        <w:rPr>
          <w:vanish/>
        </w:rPr>
      </w:pPr>
      <w:bookmarkStart w:id="3" w:name="Commission"/>
      <w:r w:rsidRPr="00B1589C">
        <w:rPr>
          <w:vanish/>
        </w:rPr>
        <w:t>Odbor za mednarodno trgovino</w:t>
      </w:r>
      <w:bookmarkEnd w:id="3"/>
    </w:p>
    <w:p w14:paraId="07A7D43A" w14:textId="77777777" w:rsidR="001D5E87" w:rsidRPr="00B1589C" w:rsidRDefault="001D5E87" w:rsidP="001D5E87">
      <w:pPr>
        <w:rPr>
          <w:vanish/>
        </w:rPr>
      </w:pPr>
      <w:bookmarkStart w:id="4" w:name="PE"/>
      <w:r w:rsidRPr="00B1589C">
        <w:rPr>
          <w:vanish/>
        </w:rPr>
        <w:t>PE765.300</w:t>
      </w:r>
      <w:bookmarkEnd w:id="4"/>
    </w:p>
    <w:p w14:paraId="4C855703" w14:textId="77777777" w:rsidR="001D5E87" w:rsidRPr="00B1589C" w:rsidRDefault="001D5E87" w:rsidP="001D5E87">
      <w:pPr>
        <w:pStyle w:val="ATHeading3"/>
      </w:pPr>
      <w:bookmarkStart w:id="5" w:name="Sujet"/>
      <w:r w:rsidRPr="00B1589C">
        <w:t>Zakonodajna resolucija Evropskega parlamenta z dne 18. junija 2025 o predlogu sklepa Evropskega parlamenta in Sveta o zagotavljanju makrofinančne pomoči Arabski republiki Egipt</w:t>
      </w:r>
      <w:bookmarkEnd w:id="5"/>
      <w:r w:rsidRPr="00B1589C">
        <w:t xml:space="preserve"> </w:t>
      </w:r>
      <w:bookmarkStart w:id="6" w:name="References"/>
      <w:r w:rsidRPr="00B1589C">
        <w:t>(COM(2024)0461 – C10-0009/2024 – 2024/0071(COD))</w:t>
      </w:r>
      <w:bookmarkEnd w:id="6"/>
    </w:p>
    <w:p w14:paraId="3178BCCA" w14:textId="77777777" w:rsidR="001F0CE1" w:rsidRPr="00B1589C" w:rsidRDefault="001F0CE1" w:rsidP="001F0CE1">
      <w:pPr>
        <w:pStyle w:val="NormalBold"/>
      </w:pPr>
      <w:r w:rsidRPr="00B1589C">
        <w:t>(Redni zakonodajni postopek: prva obravnava)</w:t>
      </w:r>
    </w:p>
    <w:p w14:paraId="7FEF54BD" w14:textId="77777777" w:rsidR="001F0CE1" w:rsidRPr="00B1589C" w:rsidRDefault="001F0CE1" w:rsidP="001F0CE1">
      <w:pPr>
        <w:pStyle w:val="EPComma"/>
      </w:pPr>
      <w:r w:rsidRPr="00B1589C">
        <w:rPr>
          <w:i/>
        </w:rPr>
        <w:t>Evropski parlament</w:t>
      </w:r>
      <w:r w:rsidRPr="00B1589C">
        <w:t>,</w:t>
      </w:r>
    </w:p>
    <w:p w14:paraId="1B92E22E" w14:textId="77777777" w:rsidR="001F0CE1" w:rsidRPr="00B1589C" w:rsidRDefault="001F0CE1" w:rsidP="001F0CE1">
      <w:pPr>
        <w:pStyle w:val="NormalHanging12a"/>
      </w:pPr>
      <w:r w:rsidRPr="00B1589C">
        <w:t>–</w:t>
      </w:r>
      <w:r w:rsidRPr="00B1589C">
        <w:tab/>
        <w:t>ob upoštevanju predloga Komisije Evropskemu parlamentu in Svetu (COM(2024)0461),</w:t>
      </w:r>
    </w:p>
    <w:p w14:paraId="6CFBBA94" w14:textId="77777777" w:rsidR="001F0CE1" w:rsidRPr="00B1589C" w:rsidRDefault="001F0CE1" w:rsidP="001F0CE1">
      <w:pPr>
        <w:pStyle w:val="NormalHanging12a"/>
      </w:pPr>
      <w:r w:rsidRPr="00B1589C">
        <w:t>–</w:t>
      </w:r>
      <w:r w:rsidRPr="00B1589C">
        <w:tab/>
        <w:t>ob upoštevanju člena 294(2) in člena 212 Pogodbe o delovanju Evropske unije, na podlagi katerih je Komisija podala predlog Parlamentu (C10</w:t>
      </w:r>
      <w:r w:rsidRPr="00B1589C">
        <w:noBreakHyphen/>
        <w:t>0009/2024),</w:t>
      </w:r>
    </w:p>
    <w:p w14:paraId="10319EA1" w14:textId="77777777" w:rsidR="001F0CE1" w:rsidRPr="00B1589C" w:rsidRDefault="001F0CE1" w:rsidP="001F0CE1">
      <w:pPr>
        <w:pStyle w:val="NormalHanging12a"/>
      </w:pPr>
      <w:r w:rsidRPr="00B1589C">
        <w:t>–</w:t>
      </w:r>
      <w:r w:rsidRPr="00B1589C">
        <w:tab/>
        <w:t>ob upoštevanju člena 294(3) Pogodbe o delovanju Evropske unije,</w:t>
      </w:r>
    </w:p>
    <w:p w14:paraId="51AD7A43" w14:textId="38C91EB0" w:rsidR="00CB3C81" w:rsidRPr="00B1589C" w:rsidRDefault="00CB3C81" w:rsidP="001F0CE1">
      <w:pPr>
        <w:pStyle w:val="NormalHanging12a"/>
      </w:pPr>
      <w:r w:rsidRPr="00B1589C">
        <w:t>–</w:t>
      </w:r>
      <w:r w:rsidRPr="00B1589C">
        <w:tab/>
        <w:t>ob upoštevanju začasnega dogovora, ki ga je odobril pristojni odbor v skladu s členom 75(4) Poslovnika, in zaveze predstavnika Sveta v pismu z dne 28. maja 2025, da bo odobril stališče Evropskega parlamenta v skladu s členom 294(4) Pogodbe o delovanju Evropske unije,</w:t>
      </w:r>
    </w:p>
    <w:p w14:paraId="5A9F3877" w14:textId="77777777" w:rsidR="001F0CE1" w:rsidRPr="00B1589C" w:rsidRDefault="001F0CE1" w:rsidP="001F0CE1">
      <w:pPr>
        <w:pStyle w:val="NormalHanging12a"/>
      </w:pPr>
      <w:r w:rsidRPr="00B1589C">
        <w:t>–</w:t>
      </w:r>
      <w:r w:rsidRPr="00B1589C">
        <w:tab/>
        <w:t>ob upoštevanju proračunske ocene, ki jo je opravil Odbor za proračun,</w:t>
      </w:r>
    </w:p>
    <w:p w14:paraId="29460CFE" w14:textId="77777777" w:rsidR="001F0CE1" w:rsidRPr="00B1589C" w:rsidRDefault="001F0CE1" w:rsidP="001F0CE1">
      <w:pPr>
        <w:pStyle w:val="NormalHanging12a"/>
      </w:pPr>
      <w:r w:rsidRPr="00B1589C">
        <w:t>–</w:t>
      </w:r>
      <w:r w:rsidRPr="00B1589C">
        <w:tab/>
        <w:t>ob upoštevanju člena 60 Poslovnika,</w:t>
      </w:r>
    </w:p>
    <w:p w14:paraId="7F6D24FE" w14:textId="77777777" w:rsidR="001F0CE1" w:rsidRPr="00B1589C" w:rsidRDefault="001F0CE1" w:rsidP="001F0CE1">
      <w:pPr>
        <w:pStyle w:val="NormalHanging12a"/>
      </w:pPr>
      <w:r w:rsidRPr="00B1589C">
        <w:t>–</w:t>
      </w:r>
      <w:r w:rsidRPr="00B1589C">
        <w:tab/>
        <w:t>ob upoštevanju mnenja Odbora za zunanje zadeve,</w:t>
      </w:r>
    </w:p>
    <w:p w14:paraId="1931115F" w14:textId="77777777" w:rsidR="001F0CE1" w:rsidRPr="00B1589C" w:rsidRDefault="001F0CE1" w:rsidP="001F0CE1">
      <w:pPr>
        <w:pStyle w:val="NormalHanging12a"/>
      </w:pPr>
      <w:r w:rsidRPr="00B1589C">
        <w:t>–</w:t>
      </w:r>
      <w:r w:rsidRPr="00B1589C">
        <w:tab/>
        <w:t>ob upoštevanju poročila Odbora za mednarodno trgovino (A10</w:t>
      </w:r>
      <w:r w:rsidRPr="00B1589C">
        <w:noBreakHyphen/>
        <w:t>0037/2025),</w:t>
      </w:r>
    </w:p>
    <w:p w14:paraId="0A742EF9" w14:textId="77777777" w:rsidR="001F0CE1" w:rsidRPr="00B1589C" w:rsidRDefault="001F0CE1" w:rsidP="001F0CE1">
      <w:pPr>
        <w:pStyle w:val="NormalHanging12a"/>
      </w:pPr>
      <w:r w:rsidRPr="00B1589C">
        <w:t>1.</w:t>
      </w:r>
      <w:r w:rsidRPr="00B1589C">
        <w:tab/>
        <w:t>sprejme stališče v prvi obravnavi, kakor je določeno v nadaljevanju;</w:t>
      </w:r>
    </w:p>
    <w:p w14:paraId="263AC88C" w14:textId="77777777" w:rsidR="001F0CE1" w:rsidRPr="00B1589C" w:rsidRDefault="001F0CE1" w:rsidP="001F0CE1">
      <w:pPr>
        <w:pStyle w:val="NormalHanging12a"/>
      </w:pPr>
      <w:r w:rsidRPr="00B1589C">
        <w:t>2.</w:t>
      </w:r>
      <w:r w:rsidRPr="00B1589C">
        <w:tab/>
        <w:t>poziva Komisijo, naj mu zadevo ponovno predloži, če svoj predlog nadomesti, ga bistveno spremeni ali ga namerava bistveno spremeniti;</w:t>
      </w:r>
    </w:p>
    <w:p w14:paraId="7483CAA9" w14:textId="42E86C35" w:rsidR="003C696F" w:rsidRPr="00B1589C" w:rsidRDefault="001F0CE1" w:rsidP="00AF7052">
      <w:pPr>
        <w:pStyle w:val="NormalHanging12a"/>
      </w:pPr>
      <w:r w:rsidRPr="00B1589C">
        <w:t>3.</w:t>
      </w:r>
      <w:r w:rsidRPr="00B1589C">
        <w:tab/>
        <w:t>naroči svoji predsednici, naj stališče Parlamenta posreduje Svetu</w:t>
      </w:r>
      <w:r w:rsidR="003C696F" w:rsidRPr="00B1589C">
        <w:t>,</w:t>
      </w:r>
      <w:r w:rsidRPr="00B1589C">
        <w:t xml:space="preserve"> Komisiji </w:t>
      </w:r>
      <w:r w:rsidR="003C696F" w:rsidRPr="00B1589C">
        <w:t>in</w:t>
      </w:r>
      <w:r w:rsidRPr="00B1589C">
        <w:t xml:space="preserve"> nacionalnim parlamentom.</w:t>
      </w:r>
      <w:r w:rsidR="003C696F" w:rsidRPr="00B1589C">
        <w:br w:type="page"/>
      </w:r>
    </w:p>
    <w:p w14:paraId="141B0474" w14:textId="1FC54637" w:rsidR="003C696F" w:rsidRPr="00B1589C" w:rsidRDefault="003C696F" w:rsidP="003C696F">
      <w:pPr>
        <w:widowControl/>
        <w:spacing w:after="240"/>
        <w:rPr>
          <w:b/>
        </w:rPr>
      </w:pPr>
      <w:r w:rsidRPr="00B1589C">
        <w:rPr>
          <w:b/>
        </w:rPr>
        <w:lastRenderedPageBreak/>
        <w:t>P10_TC1-COD(2024)0071</w:t>
      </w:r>
    </w:p>
    <w:p w14:paraId="0101E4A0" w14:textId="659A030C" w:rsidR="003C696F" w:rsidRDefault="003C696F" w:rsidP="003C696F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B1589C">
        <w:rPr>
          <w:b/>
        </w:rPr>
        <w:t xml:space="preserve">Stališče Evropskega parlamenta, sprejeto v prvi obravnavi 18. junija 2025 z namenom sprejetja Sklepa (EU) 2025/... Evropskega parlamenta in Sveta </w:t>
      </w:r>
      <w:r w:rsidRPr="00B1589C">
        <w:rPr>
          <w:rFonts w:eastAsia="Calibri"/>
          <w:b/>
          <w:szCs w:val="22"/>
          <w:lang w:eastAsia="en-US"/>
        </w:rPr>
        <w:t>o zagotavljanju makrofinančne pomoči Arabski republiki Egipt</w:t>
      </w:r>
    </w:p>
    <w:p w14:paraId="570D78AB" w14:textId="47F1C512" w:rsidR="000A199E" w:rsidRPr="00B1589C" w:rsidRDefault="000A199E" w:rsidP="000A199E">
      <w:pPr>
        <w:widowControl/>
        <w:spacing w:before="120" w:after="120"/>
        <w:rPr>
          <w:rFonts w:eastAsia="Calibri"/>
          <w:b/>
          <w:szCs w:val="22"/>
          <w:lang w:eastAsia="en-US"/>
        </w:rPr>
      </w:pPr>
      <w:r w:rsidRPr="000A199E">
        <w:rPr>
          <w:bCs/>
          <w:i/>
        </w:rPr>
        <w:t>(Ker je bil dosežen sporazum med Parlamentom in Svetom, je stališče Parlamenta enako končnemu zakonodajnemu aktu, Sklepu (EU) 2025/12</w:t>
      </w:r>
      <w:r w:rsidR="00E73DF0">
        <w:rPr>
          <w:bCs/>
          <w:i/>
        </w:rPr>
        <w:t>6</w:t>
      </w:r>
      <w:r w:rsidRPr="000A199E">
        <w:rPr>
          <w:bCs/>
          <w:i/>
        </w:rPr>
        <w:t>7.)</w:t>
      </w:r>
    </w:p>
    <w:sectPr w:rsidR="000A199E" w:rsidRPr="00B1589C" w:rsidSect="00AE0C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30A06" w14:textId="77777777" w:rsidR="001D5E87" w:rsidRPr="00AE0C03" w:rsidRDefault="001D5E87">
      <w:r w:rsidRPr="00AE0C03">
        <w:separator/>
      </w:r>
    </w:p>
  </w:endnote>
  <w:endnote w:type="continuationSeparator" w:id="0">
    <w:p w14:paraId="7D2E0FA0" w14:textId="77777777" w:rsidR="001D5E87" w:rsidRPr="00AE0C03" w:rsidRDefault="001D5E87">
      <w:r w:rsidRPr="00AE0C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3EBC" w14:textId="77777777" w:rsidR="00064002" w:rsidRPr="00AE0C0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BFCD5" w14:textId="77777777" w:rsidR="00064002" w:rsidRPr="00AE0C0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8CC5A" w14:textId="77777777" w:rsidR="00064002" w:rsidRPr="00AE0C0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33A8" w14:textId="77777777" w:rsidR="001D5E87" w:rsidRPr="00AE0C03" w:rsidRDefault="001D5E87">
      <w:r w:rsidRPr="00AE0C03">
        <w:separator/>
      </w:r>
    </w:p>
  </w:footnote>
  <w:footnote w:type="continuationSeparator" w:id="0">
    <w:p w14:paraId="62231663" w14:textId="77777777" w:rsidR="001D5E87" w:rsidRPr="00AE0C03" w:rsidRDefault="001D5E87">
      <w:r w:rsidRPr="00AE0C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0354" w14:textId="77777777" w:rsidR="00064002" w:rsidRPr="00AE0C0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44D5" w14:textId="77777777" w:rsidR="00064002" w:rsidRPr="00AE0C0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CA55" w14:textId="77777777" w:rsidR="00064002" w:rsidRPr="00AE0C0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88394467">
    <w:abstractNumId w:val="9"/>
  </w:num>
  <w:num w:numId="2" w16cid:durableId="731004270">
    <w:abstractNumId w:val="9"/>
  </w:num>
  <w:num w:numId="3" w16cid:durableId="643509926">
    <w:abstractNumId w:val="7"/>
  </w:num>
  <w:num w:numId="4" w16cid:durableId="2002155952">
    <w:abstractNumId w:val="7"/>
  </w:num>
  <w:num w:numId="5" w16cid:durableId="511797941">
    <w:abstractNumId w:val="6"/>
  </w:num>
  <w:num w:numId="6" w16cid:durableId="1062679327">
    <w:abstractNumId w:val="6"/>
  </w:num>
  <w:num w:numId="7" w16cid:durableId="2026901534">
    <w:abstractNumId w:val="5"/>
  </w:num>
  <w:num w:numId="8" w16cid:durableId="1245530735">
    <w:abstractNumId w:val="5"/>
  </w:num>
  <w:num w:numId="9" w16cid:durableId="2045983127">
    <w:abstractNumId w:val="4"/>
  </w:num>
  <w:num w:numId="10" w16cid:durableId="553663838">
    <w:abstractNumId w:val="4"/>
  </w:num>
  <w:num w:numId="11" w16cid:durableId="130876736">
    <w:abstractNumId w:val="8"/>
  </w:num>
  <w:num w:numId="12" w16cid:durableId="1874266304">
    <w:abstractNumId w:val="8"/>
  </w:num>
  <w:num w:numId="13" w16cid:durableId="90249258">
    <w:abstractNumId w:val="3"/>
  </w:num>
  <w:num w:numId="14" w16cid:durableId="58947381">
    <w:abstractNumId w:val="3"/>
  </w:num>
  <w:num w:numId="15" w16cid:durableId="1975863219">
    <w:abstractNumId w:val="2"/>
  </w:num>
  <w:num w:numId="16" w16cid:durableId="1787264084">
    <w:abstractNumId w:val="2"/>
  </w:num>
  <w:num w:numId="17" w16cid:durableId="939065898">
    <w:abstractNumId w:val="1"/>
  </w:num>
  <w:num w:numId="18" w16cid:durableId="1678726072">
    <w:abstractNumId w:val="1"/>
  </w:num>
  <w:num w:numId="19" w16cid:durableId="924461697">
    <w:abstractNumId w:val="0"/>
  </w:num>
  <w:num w:numId="20" w16cid:durableId="477890354">
    <w:abstractNumId w:val="0"/>
  </w:num>
  <w:num w:numId="21" w16cid:durableId="617369525">
    <w:abstractNumId w:val="9"/>
  </w:num>
  <w:num w:numId="22" w16cid:durableId="542062596">
    <w:abstractNumId w:val="7"/>
  </w:num>
  <w:num w:numId="23" w16cid:durableId="1589462575">
    <w:abstractNumId w:val="6"/>
  </w:num>
  <w:num w:numId="24" w16cid:durableId="955332760">
    <w:abstractNumId w:val="5"/>
  </w:num>
  <w:num w:numId="25" w16cid:durableId="347947506">
    <w:abstractNumId w:val="4"/>
  </w:num>
  <w:num w:numId="26" w16cid:durableId="1198932801">
    <w:abstractNumId w:val="8"/>
  </w:num>
  <w:num w:numId="27" w16cid:durableId="833178842">
    <w:abstractNumId w:val="3"/>
  </w:num>
  <w:num w:numId="28" w16cid:durableId="2016767436">
    <w:abstractNumId w:val="2"/>
  </w:num>
  <w:num w:numId="29" w16cid:durableId="1411386942">
    <w:abstractNumId w:val="1"/>
  </w:num>
  <w:num w:numId="30" w16cid:durableId="1593733110">
    <w:abstractNumId w:val="0"/>
  </w:num>
  <w:num w:numId="31" w16cid:durableId="523062148">
    <w:abstractNumId w:val="9"/>
  </w:num>
  <w:num w:numId="32" w16cid:durableId="800151125">
    <w:abstractNumId w:val="7"/>
  </w:num>
  <w:num w:numId="33" w16cid:durableId="105318740">
    <w:abstractNumId w:val="6"/>
  </w:num>
  <w:num w:numId="34" w16cid:durableId="1421678891">
    <w:abstractNumId w:val="5"/>
  </w:num>
  <w:num w:numId="35" w16cid:durableId="1164515212">
    <w:abstractNumId w:val="4"/>
  </w:num>
  <w:num w:numId="36" w16cid:durableId="2027710736">
    <w:abstractNumId w:val="8"/>
  </w:num>
  <w:num w:numId="37" w16cid:durableId="1960186904">
    <w:abstractNumId w:val="3"/>
  </w:num>
  <w:num w:numId="38" w16cid:durableId="103817138">
    <w:abstractNumId w:val="2"/>
  </w:num>
  <w:num w:numId="39" w16cid:durableId="1469589787">
    <w:abstractNumId w:val="1"/>
  </w:num>
  <w:num w:numId="40" w16cid:durableId="38362128">
    <w:abstractNumId w:val="0"/>
  </w:num>
  <w:num w:numId="41" w16cid:durableId="2043046050">
    <w:abstractNumId w:val="10"/>
  </w:num>
  <w:num w:numId="42" w16cid:durableId="879167789">
    <w:abstractNumId w:val="10"/>
  </w:num>
  <w:num w:numId="43" w16cid:durableId="185483432">
    <w:abstractNumId w:val="10"/>
  </w:num>
  <w:num w:numId="44" w16cid:durableId="182402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37/2025"/>
    <w:docVar w:name="dvlangue" w:val="SL"/>
    <w:docVar w:name="dvnumam" w:val="0"/>
    <w:docVar w:name="dvpe" w:val="765.300"/>
    <w:docVar w:name="dvrapporteur" w:val="Poročevalka: "/>
    <w:docVar w:name="dvstar" w:val="***I"/>
    <w:docVar w:name="dvtitre" w:val="Zakonodajna resolucija Evropskega parlamenta z dne 18. junija 2025 o predlogu sklepa Evropskega parlamenta in Sveta o zagotavljanju makrofinančne pomoči Arabski republiki Egipt(COM(2024)0461 – C10-0009/2024 – 2024/0071(COD))"/>
  </w:docVars>
  <w:rsids>
    <w:rsidRoot w:val="001D5E87"/>
    <w:rsid w:val="00002272"/>
    <w:rsid w:val="00027DFC"/>
    <w:rsid w:val="00064002"/>
    <w:rsid w:val="000677B9"/>
    <w:rsid w:val="000831BA"/>
    <w:rsid w:val="000A199E"/>
    <w:rsid w:val="000A42CC"/>
    <w:rsid w:val="000E7DD9"/>
    <w:rsid w:val="0010095E"/>
    <w:rsid w:val="00125B37"/>
    <w:rsid w:val="00187494"/>
    <w:rsid w:val="001D5E87"/>
    <w:rsid w:val="001F0CE1"/>
    <w:rsid w:val="001F32AE"/>
    <w:rsid w:val="002767FF"/>
    <w:rsid w:val="002B18FE"/>
    <w:rsid w:val="002B5493"/>
    <w:rsid w:val="00343214"/>
    <w:rsid w:val="00361C00"/>
    <w:rsid w:val="00395FA1"/>
    <w:rsid w:val="003C696F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0CC0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0C03"/>
    <w:rsid w:val="00AF3B82"/>
    <w:rsid w:val="00AF7052"/>
    <w:rsid w:val="00B12E95"/>
    <w:rsid w:val="00B1589C"/>
    <w:rsid w:val="00B22876"/>
    <w:rsid w:val="00B34FCF"/>
    <w:rsid w:val="00B558F0"/>
    <w:rsid w:val="00BD48FE"/>
    <w:rsid w:val="00BD7BD8"/>
    <w:rsid w:val="00BE6ADC"/>
    <w:rsid w:val="00C05BFE"/>
    <w:rsid w:val="00C23CD4"/>
    <w:rsid w:val="00C61C0C"/>
    <w:rsid w:val="00C941CB"/>
    <w:rsid w:val="00CB3C81"/>
    <w:rsid w:val="00CC2357"/>
    <w:rsid w:val="00CF071A"/>
    <w:rsid w:val="00D058B8"/>
    <w:rsid w:val="00D56C11"/>
    <w:rsid w:val="00D834A0"/>
    <w:rsid w:val="00D872DF"/>
    <w:rsid w:val="00D91E21"/>
    <w:rsid w:val="00DA7FCD"/>
    <w:rsid w:val="00E24E6B"/>
    <w:rsid w:val="00E365E1"/>
    <w:rsid w:val="00E73DF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DB3E5"/>
  <w15:chartTrackingRefBased/>
  <w15:docId w15:val="{67C4A817-F580-4257-A9DD-F744D11F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1F0CE1"/>
    <w:pPr>
      <w:spacing w:after="120"/>
    </w:pPr>
  </w:style>
  <w:style w:type="paragraph" w:customStyle="1" w:styleId="NormalBold">
    <w:name w:val="NormalBold"/>
    <w:basedOn w:val="Normal"/>
    <w:link w:val="NormalBoldChar"/>
    <w:rsid w:val="001F0CE1"/>
    <w:rPr>
      <w:b/>
    </w:rPr>
  </w:style>
  <w:style w:type="paragraph" w:customStyle="1" w:styleId="NormalHanging12a">
    <w:name w:val="NormalHanging12a"/>
    <w:basedOn w:val="Normal"/>
    <w:rsid w:val="001F0CE1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1F0CE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F0CE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F0CE1"/>
    <w:pPr>
      <w:spacing w:before="240"/>
    </w:pPr>
    <w:rPr>
      <w:b/>
    </w:rPr>
  </w:style>
  <w:style w:type="paragraph" w:customStyle="1" w:styleId="EPComma">
    <w:name w:val="EPComma"/>
    <w:basedOn w:val="Normal"/>
    <w:rsid w:val="001F0CE1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1F0CE1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1F0CE1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F0CE1"/>
    <w:rPr>
      <w:b/>
      <w:sz w:val="24"/>
      <w:lang w:val="sl-SI"/>
    </w:rPr>
  </w:style>
  <w:style w:type="paragraph" w:customStyle="1" w:styleId="ColumnHeading">
    <w:name w:val="ColumnHeading"/>
    <w:basedOn w:val="Normal"/>
    <w:rsid w:val="001F0CE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F0CE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styleId="Hyperlink">
    <w:name w:val="Hyperlink"/>
    <w:basedOn w:val="DefaultParagraphFont"/>
    <w:rsid w:val="001F0CE1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1F0CE1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1F0CE1"/>
    <w:rPr>
      <w:b/>
      <w:sz w:val="24"/>
      <w:lang w:val="sl-SI"/>
    </w:rPr>
  </w:style>
  <w:style w:type="paragraph" w:styleId="Revision">
    <w:name w:val="Revision"/>
    <w:hidden/>
    <w:uiPriority w:val="99"/>
    <w:semiHidden/>
    <w:rsid w:val="003C696F"/>
    <w:rPr>
      <w:sz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2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1743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GIRGINOV Kiril</cp:lastModifiedBy>
  <cp:revision>2</cp:revision>
  <cp:lastPrinted>2004-11-19T15:42:00Z</cp:lastPrinted>
  <dcterms:created xsi:type="dcterms:W3CDTF">2025-10-14T15:04:00Z</dcterms:created>
  <dcterms:modified xsi:type="dcterms:W3CDTF">2025-10-14T15:04:00Z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