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76A6D" w14:paraId="72700A72" w14:textId="77777777" w:rsidTr="0010095E">
        <w:trPr>
          <w:trHeight w:hRule="exact" w:val="1418"/>
        </w:trPr>
        <w:tc>
          <w:tcPr>
            <w:tcW w:w="6804" w:type="dxa"/>
            <w:shd w:val="clear" w:color="auto" w:fill="auto"/>
            <w:vAlign w:val="center"/>
          </w:tcPr>
          <w:p w14:paraId="72F54631" w14:textId="77777777" w:rsidR="00751A4A" w:rsidRPr="00B76A6D" w:rsidRDefault="00595E83" w:rsidP="0010095E">
            <w:pPr>
              <w:pStyle w:val="EPName"/>
            </w:pPr>
            <w:r w:rsidRPr="00B76A6D">
              <w:t>Parlamentul European</w:t>
            </w:r>
          </w:p>
          <w:p w14:paraId="4692BA04" w14:textId="77777777" w:rsidR="00751A4A" w:rsidRPr="00B76A6D" w:rsidRDefault="005F1B17" w:rsidP="005F1B17">
            <w:pPr>
              <w:pStyle w:val="EPTerm"/>
              <w:rPr>
                <w:rStyle w:val="HideTWBExt"/>
                <w:noProof w:val="0"/>
                <w:vanish w:val="0"/>
                <w:color w:val="auto"/>
              </w:rPr>
            </w:pPr>
            <w:r w:rsidRPr="00B76A6D">
              <w:t>2024</w:t>
            </w:r>
            <w:r w:rsidR="00817416" w:rsidRPr="00B76A6D">
              <w:t>-202</w:t>
            </w:r>
            <w:r w:rsidRPr="00B76A6D">
              <w:t>9</w:t>
            </w:r>
          </w:p>
        </w:tc>
        <w:tc>
          <w:tcPr>
            <w:tcW w:w="2268" w:type="dxa"/>
            <w:shd w:val="clear" w:color="auto" w:fill="auto"/>
          </w:tcPr>
          <w:p w14:paraId="05F711BC" w14:textId="77777777" w:rsidR="00751A4A" w:rsidRPr="00B76A6D" w:rsidRDefault="00187494" w:rsidP="0010095E">
            <w:pPr>
              <w:pStyle w:val="EPLogo"/>
            </w:pPr>
            <w:r w:rsidRPr="00B76A6D">
              <w:rPr>
                <w:noProof/>
                <w:lang w:val="en-GB"/>
              </w:rPr>
              <w:drawing>
                <wp:inline distT="0" distB="0" distL="0" distR="0" wp14:anchorId="771C5870" wp14:editId="1579AB9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F4DBD9C" w14:textId="77777777" w:rsidR="00D058B8" w:rsidRPr="00B76A6D" w:rsidRDefault="00D058B8" w:rsidP="004C5D52">
      <w:pPr>
        <w:pStyle w:val="LineTop"/>
      </w:pPr>
    </w:p>
    <w:p w14:paraId="746FEFCC" w14:textId="77777777" w:rsidR="00680577" w:rsidRPr="00B76A6D" w:rsidRDefault="00595E83" w:rsidP="00680577">
      <w:pPr>
        <w:pStyle w:val="EPBodyTA1"/>
      </w:pPr>
      <w:r w:rsidRPr="00B76A6D">
        <w:t>TEXTE ADOPTATE</w:t>
      </w:r>
    </w:p>
    <w:p w14:paraId="054F550E" w14:textId="77777777" w:rsidR="00D058B8" w:rsidRPr="00B76A6D" w:rsidRDefault="00D058B8" w:rsidP="00D058B8">
      <w:pPr>
        <w:pStyle w:val="LineBottom"/>
      </w:pPr>
    </w:p>
    <w:p w14:paraId="4F7EBBF3" w14:textId="77777777" w:rsidR="00595E83" w:rsidRPr="00B76A6D" w:rsidRDefault="00595E83" w:rsidP="00595E83">
      <w:pPr>
        <w:pStyle w:val="ATHeading1"/>
      </w:pPr>
      <w:bookmarkStart w:id="0" w:name="TANumber"/>
      <w:r w:rsidRPr="00B76A6D">
        <w:t>P10_TA(2025)</w:t>
      </w:r>
      <w:bookmarkEnd w:id="0"/>
      <w:r w:rsidR="00B76A6D" w:rsidRPr="00B76A6D">
        <w:t>0125</w:t>
      </w:r>
    </w:p>
    <w:p w14:paraId="4BFD2627" w14:textId="77777777" w:rsidR="00595E83" w:rsidRPr="00B76A6D" w:rsidRDefault="00595E83" w:rsidP="00595E83">
      <w:pPr>
        <w:pStyle w:val="ATHeading2"/>
      </w:pPr>
      <w:bookmarkStart w:id="1" w:name="title"/>
      <w:r w:rsidRPr="00B76A6D">
        <w:t>Asistența macrofinanciară acordată Egiptului</w:t>
      </w:r>
      <w:bookmarkEnd w:id="1"/>
    </w:p>
    <w:p w14:paraId="49AD8DF2" w14:textId="77777777" w:rsidR="00595E83" w:rsidRPr="00B76A6D" w:rsidRDefault="00595E83" w:rsidP="00595E83">
      <w:pPr>
        <w:rPr>
          <w:i/>
          <w:vanish/>
        </w:rPr>
      </w:pPr>
      <w:r w:rsidRPr="00B76A6D">
        <w:rPr>
          <w:i/>
        </w:rPr>
        <w:fldChar w:fldCharType="begin"/>
      </w:r>
      <w:r w:rsidRPr="00B76A6D">
        <w:rPr>
          <w:i/>
        </w:rPr>
        <w:instrText xml:space="preserve"> TC"(</w:instrText>
      </w:r>
      <w:bookmarkStart w:id="2" w:name="DocNumber"/>
      <w:r w:rsidRPr="00B76A6D">
        <w:rPr>
          <w:i/>
        </w:rPr>
        <w:instrText>A10-0037/2025</w:instrText>
      </w:r>
      <w:bookmarkEnd w:id="2"/>
      <w:r w:rsidRPr="00B76A6D">
        <w:rPr>
          <w:i/>
        </w:rPr>
        <w:instrText xml:space="preserve"> - Raportoare: Céline Imart)"\l3 \n&gt; \* MERGEFORMAT </w:instrText>
      </w:r>
      <w:r w:rsidRPr="00B76A6D">
        <w:rPr>
          <w:i/>
        </w:rPr>
        <w:fldChar w:fldCharType="end"/>
      </w:r>
    </w:p>
    <w:p w14:paraId="222B4659" w14:textId="77777777" w:rsidR="00595E83" w:rsidRPr="00B76A6D" w:rsidRDefault="00595E83" w:rsidP="00595E83">
      <w:pPr>
        <w:rPr>
          <w:vanish/>
        </w:rPr>
      </w:pPr>
      <w:bookmarkStart w:id="3" w:name="Commission"/>
      <w:r w:rsidRPr="00B76A6D">
        <w:rPr>
          <w:vanish/>
        </w:rPr>
        <w:t>Comisia pentru comerț internațional</w:t>
      </w:r>
      <w:bookmarkEnd w:id="3"/>
    </w:p>
    <w:p w14:paraId="7136781B" w14:textId="77777777" w:rsidR="00595E83" w:rsidRPr="00B76A6D" w:rsidRDefault="00595E83" w:rsidP="00595E83">
      <w:pPr>
        <w:rPr>
          <w:vanish/>
        </w:rPr>
      </w:pPr>
      <w:bookmarkStart w:id="4" w:name="PE"/>
      <w:r w:rsidRPr="00B76A6D">
        <w:rPr>
          <w:vanish/>
        </w:rPr>
        <w:t>PE765.300</w:t>
      </w:r>
      <w:bookmarkEnd w:id="4"/>
    </w:p>
    <w:p w14:paraId="51AA915A" w14:textId="77777777" w:rsidR="00595E83" w:rsidRPr="00B76A6D" w:rsidRDefault="00595E83" w:rsidP="00595E83">
      <w:pPr>
        <w:pStyle w:val="ATHeading3"/>
      </w:pPr>
      <w:bookmarkStart w:id="5" w:name="Sujet"/>
      <w:r w:rsidRPr="00B76A6D">
        <w:t>Rezoluția legislativă a Parlamentului European din 18 iunie 2025 referitoare la propunerea de decizie a Parlamentului European și a Consiliului privind acordarea unei asistențe macrofinanciare Republicii Arabe Egipt</w:t>
      </w:r>
      <w:bookmarkEnd w:id="5"/>
      <w:r w:rsidRPr="00B76A6D">
        <w:t xml:space="preserve"> </w:t>
      </w:r>
      <w:bookmarkStart w:id="6" w:name="References"/>
      <w:r w:rsidRPr="00B76A6D">
        <w:t>(COM(2024)0461 – C10-0009/2024 – 2024/0071(COD))</w:t>
      </w:r>
      <w:bookmarkEnd w:id="6"/>
    </w:p>
    <w:p w14:paraId="1797191E" w14:textId="77777777" w:rsidR="00685F6B" w:rsidRPr="00B76A6D" w:rsidRDefault="00685F6B" w:rsidP="00685F6B">
      <w:pPr>
        <w:pStyle w:val="NormalBold"/>
      </w:pPr>
      <w:r w:rsidRPr="00B76A6D">
        <w:t>(Procedura legislativă ordinară: prima lectură)</w:t>
      </w:r>
    </w:p>
    <w:p w14:paraId="1AAB4B33" w14:textId="77777777" w:rsidR="00685F6B" w:rsidRPr="00B76A6D" w:rsidRDefault="00685F6B" w:rsidP="00685F6B">
      <w:pPr>
        <w:pStyle w:val="EPComma"/>
      </w:pPr>
      <w:r w:rsidRPr="00B76A6D">
        <w:rPr>
          <w:i/>
        </w:rPr>
        <w:t>Parlamentul European</w:t>
      </w:r>
      <w:r w:rsidRPr="00B76A6D">
        <w:t>,</w:t>
      </w:r>
    </w:p>
    <w:p w14:paraId="387098F4" w14:textId="77777777" w:rsidR="00685F6B" w:rsidRPr="00B76A6D" w:rsidRDefault="00685F6B" w:rsidP="00685F6B">
      <w:pPr>
        <w:pStyle w:val="NormalHanging12a"/>
      </w:pPr>
      <w:r w:rsidRPr="00B76A6D">
        <w:t>–</w:t>
      </w:r>
      <w:r w:rsidRPr="00B76A6D">
        <w:tab/>
        <w:t>având în vedere propunerea Comisiei prezentată Parlamentului European și Consiliului (COM(2024)0461),</w:t>
      </w:r>
    </w:p>
    <w:p w14:paraId="52A88FAC" w14:textId="77777777" w:rsidR="00685F6B" w:rsidRPr="00B76A6D" w:rsidRDefault="00685F6B" w:rsidP="00685F6B">
      <w:pPr>
        <w:pStyle w:val="NormalHanging12a"/>
      </w:pPr>
      <w:r w:rsidRPr="00B76A6D">
        <w:t>–</w:t>
      </w:r>
      <w:r w:rsidRPr="00B76A6D">
        <w:tab/>
        <w:t>având în vedere articolul 294 alineatul (2) și articolul 212 din Tratatul privind funcționarea Uniunii Europene, în temeiul cărora propunerea a fost prezentată de către Comisie (C10</w:t>
      </w:r>
      <w:r w:rsidRPr="00B76A6D">
        <w:noBreakHyphen/>
        <w:t>0009/2024),</w:t>
      </w:r>
    </w:p>
    <w:p w14:paraId="279C9AD1" w14:textId="77777777" w:rsidR="00685F6B" w:rsidRPr="00B76A6D" w:rsidRDefault="00685F6B" w:rsidP="00685F6B">
      <w:pPr>
        <w:pStyle w:val="NormalHanging12a"/>
      </w:pPr>
      <w:r w:rsidRPr="00B76A6D">
        <w:t>–</w:t>
      </w:r>
      <w:r w:rsidRPr="00B76A6D">
        <w:tab/>
        <w:t>având în vedere articolul 294 alineatul (3) din Tratatul privind funcționarea Uniunii Europene,</w:t>
      </w:r>
    </w:p>
    <w:p w14:paraId="3DEC1BE4" w14:textId="77777777" w:rsidR="000419A4" w:rsidRPr="00B76A6D" w:rsidRDefault="000419A4" w:rsidP="000419A4">
      <w:pPr>
        <w:spacing w:after="240"/>
        <w:ind w:left="567" w:hanging="567"/>
      </w:pPr>
      <w:r w:rsidRPr="00B76A6D">
        <w:t>–</w:t>
      </w:r>
      <w:r w:rsidRPr="00B76A6D">
        <w:tab/>
        <w:t>având în vedere acordul provizoriu aprobat de comisia competentă în temeiul articolului 75 alineatul (4) din Regulamentul său de procedură și angajamentul reprezentantului Consiliului, exprimat în scrisoarea din 28 mai 2025, de a aproba poziția Parlamentului în conformitate cu articolul 294 alineatul (4) din Tratatul privind funcționarea Uniunii Europene,</w:t>
      </w:r>
    </w:p>
    <w:p w14:paraId="25F6DD1C" w14:textId="77777777" w:rsidR="00685F6B" w:rsidRPr="00B76A6D" w:rsidRDefault="00685F6B" w:rsidP="00685F6B">
      <w:pPr>
        <w:pStyle w:val="NormalHanging12a"/>
      </w:pPr>
      <w:r w:rsidRPr="00B76A6D">
        <w:t>–</w:t>
      </w:r>
      <w:r w:rsidRPr="00B76A6D">
        <w:tab/>
        <w:t>având în vedere evaluarea bugetară efectuată de către Comisia pentru bugete,</w:t>
      </w:r>
    </w:p>
    <w:p w14:paraId="0A8D4880" w14:textId="77777777" w:rsidR="00685F6B" w:rsidRPr="00B76A6D" w:rsidRDefault="00685F6B" w:rsidP="00685F6B">
      <w:pPr>
        <w:pStyle w:val="NormalHanging12a"/>
      </w:pPr>
      <w:r w:rsidRPr="00B76A6D">
        <w:t>–</w:t>
      </w:r>
      <w:r w:rsidRPr="00B76A6D">
        <w:tab/>
        <w:t>având în vedere articolul 60 din Regulamentul său de procedură,</w:t>
      </w:r>
    </w:p>
    <w:p w14:paraId="69231B5B" w14:textId="77777777" w:rsidR="00685F6B" w:rsidRPr="00B76A6D" w:rsidRDefault="00685F6B" w:rsidP="00685F6B">
      <w:pPr>
        <w:pStyle w:val="NormalHanging12a"/>
      </w:pPr>
      <w:r w:rsidRPr="00B76A6D">
        <w:t>–</w:t>
      </w:r>
      <w:r w:rsidRPr="00B76A6D">
        <w:tab/>
        <w:t>având în vedere avizul Comisiei pentru afaceri externe,</w:t>
      </w:r>
    </w:p>
    <w:p w14:paraId="02DD6F7E" w14:textId="77777777" w:rsidR="00685F6B" w:rsidRPr="00B76A6D" w:rsidRDefault="00685F6B" w:rsidP="00685F6B">
      <w:pPr>
        <w:pStyle w:val="NormalHanging12a"/>
      </w:pPr>
      <w:r w:rsidRPr="00B76A6D">
        <w:t>–</w:t>
      </w:r>
      <w:r w:rsidRPr="00B76A6D">
        <w:tab/>
        <w:t>având în vedere raportul Comisiei pentru comerț internațional (A10-0037/2025),</w:t>
      </w:r>
    </w:p>
    <w:p w14:paraId="040AEACD" w14:textId="77777777" w:rsidR="00685F6B" w:rsidRPr="00B76A6D" w:rsidRDefault="00685F6B" w:rsidP="00685F6B">
      <w:pPr>
        <w:pStyle w:val="NormalHanging12a"/>
      </w:pPr>
      <w:r w:rsidRPr="00B76A6D">
        <w:t>1.</w:t>
      </w:r>
      <w:r w:rsidRPr="00B76A6D">
        <w:tab/>
        <w:t>adoptă poziția sa în primă lectură prezentată în continuare;</w:t>
      </w:r>
    </w:p>
    <w:p w14:paraId="31DE6C87" w14:textId="77777777" w:rsidR="00685F6B" w:rsidRPr="00B76A6D" w:rsidRDefault="00685F6B" w:rsidP="00685F6B">
      <w:pPr>
        <w:pStyle w:val="NormalHanging12a"/>
      </w:pPr>
      <w:r w:rsidRPr="00B76A6D">
        <w:lastRenderedPageBreak/>
        <w:t>2.</w:t>
      </w:r>
      <w:r w:rsidRPr="00B76A6D">
        <w:tab/>
        <w:t>solicită Comisiei să îl sesizeze din nou în cazul în care își înlocuiește, își modifică în mod substanțial sau intenționează să-și modifice în mod substanțial propunerea;</w:t>
      </w:r>
    </w:p>
    <w:p w14:paraId="3CF64E67" w14:textId="77777777" w:rsidR="00685F6B" w:rsidRPr="00B76A6D" w:rsidRDefault="00685F6B" w:rsidP="00685F6B">
      <w:pPr>
        <w:widowControl/>
        <w:ind w:left="567" w:hanging="567"/>
      </w:pPr>
      <w:r w:rsidRPr="00B76A6D">
        <w:t>3.</w:t>
      </w:r>
      <w:r w:rsidRPr="00B76A6D">
        <w:tab/>
        <w:t>încredințează Președintei sarcina de a transmite Consiliului și Comisiei, precum și parlamentelor naționale poziția Parlamentului.</w:t>
      </w:r>
    </w:p>
    <w:p w14:paraId="502A8811" w14:textId="63B2BE4D" w:rsidR="00B1029A" w:rsidRDefault="00B1029A">
      <w:pPr>
        <w:widowControl/>
      </w:pPr>
      <w:r>
        <w:br w:type="page"/>
      </w:r>
    </w:p>
    <w:p w14:paraId="0AB2D0A4" w14:textId="77777777" w:rsidR="000419A4" w:rsidRPr="00B76A6D" w:rsidRDefault="000419A4" w:rsidP="000419A4">
      <w:pPr>
        <w:autoSpaceDE w:val="0"/>
        <w:autoSpaceDN w:val="0"/>
        <w:adjustRightInd w:val="0"/>
        <w:spacing w:after="240"/>
        <w:rPr>
          <w:b/>
          <w:bCs/>
        </w:rPr>
      </w:pPr>
      <w:r w:rsidRPr="00B76A6D">
        <w:rPr>
          <w:b/>
          <w:bCs/>
        </w:rPr>
        <w:lastRenderedPageBreak/>
        <w:t>P10_TC1-COD(2024)0071</w:t>
      </w:r>
    </w:p>
    <w:p w14:paraId="3CED3D13" w14:textId="77777777" w:rsidR="00B1029A" w:rsidRDefault="000419A4" w:rsidP="00B1029A">
      <w:pPr>
        <w:spacing w:before="240"/>
        <w:rPr>
          <w:b/>
          <w:bCs/>
        </w:rPr>
      </w:pPr>
      <w:r w:rsidRPr="00B76A6D">
        <w:rPr>
          <w:rFonts w:eastAsia="Calibri"/>
          <w:b/>
        </w:rPr>
        <w:t>Poziția Parlamentului European adoptată în primă lectură la 18 iunie 2025 în vederea adoptării Deciziei (UE) 2025/... a Parlamentului European și a Consiliului de acordare de asistență macrofinanciară Republicii Arabe Egipt</w:t>
      </w:r>
      <w:bookmarkStart w:id="7" w:name="_DV_M1"/>
      <w:bookmarkStart w:id="8" w:name="_DV_M2"/>
      <w:bookmarkEnd w:id="7"/>
      <w:bookmarkEnd w:id="8"/>
    </w:p>
    <w:p w14:paraId="28925E38" w14:textId="23C373B5" w:rsidR="00B1029A" w:rsidRPr="00B1029A" w:rsidRDefault="00B1029A" w:rsidP="00B1029A">
      <w:pPr>
        <w:spacing w:before="240"/>
        <w:rPr>
          <w:b/>
          <w:bCs/>
        </w:rPr>
      </w:pPr>
      <w:r w:rsidRPr="00B1029A">
        <w:rPr>
          <w:rFonts w:eastAsia="Calibri"/>
          <w:i/>
          <w:iCs/>
          <w:color w:val="000000"/>
          <w:szCs w:val="22"/>
          <w:lang w:eastAsia="en-US"/>
        </w:rPr>
        <w:t>(Întrucât s-a ajuns la un acord între Parlament și Consiliu, poziția Parlamentului corespunde cu actul legislativ final, Decizia (UE) 2025/</w:t>
      </w:r>
      <w:r>
        <w:rPr>
          <w:rFonts w:eastAsia="Calibri"/>
          <w:i/>
          <w:iCs/>
          <w:color w:val="000000"/>
          <w:szCs w:val="22"/>
          <w:lang w:eastAsia="en-US"/>
        </w:rPr>
        <w:t>1267</w:t>
      </w:r>
      <w:r w:rsidRPr="00B1029A">
        <w:rPr>
          <w:rFonts w:eastAsia="Calibri"/>
          <w:i/>
          <w:iCs/>
          <w:color w:val="000000"/>
          <w:szCs w:val="22"/>
          <w:lang w:eastAsia="en-US"/>
        </w:rPr>
        <w:t>.)</w:t>
      </w:r>
    </w:p>
    <w:p w14:paraId="24CD6805" w14:textId="6176014C" w:rsidR="000419A4" w:rsidRPr="00B76A6D" w:rsidRDefault="000419A4" w:rsidP="000419A4">
      <w:pPr>
        <w:widowControl/>
        <w:tabs>
          <w:tab w:val="left" w:pos="5669"/>
        </w:tabs>
        <w:spacing w:line="360" w:lineRule="auto"/>
        <w:rPr>
          <w:rFonts w:eastAsia="Calibri"/>
          <w:i/>
          <w:color w:val="000000"/>
          <w:szCs w:val="22"/>
          <w:lang w:eastAsia="en-US"/>
        </w:rPr>
      </w:pPr>
    </w:p>
    <w:sectPr w:rsidR="000419A4" w:rsidRPr="00B76A6D" w:rsidSect="00AC76A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DD5F5" w14:textId="77777777" w:rsidR="00595E83" w:rsidRPr="00AC76AE" w:rsidRDefault="00595E83">
      <w:r w:rsidRPr="00AC76AE">
        <w:separator/>
      </w:r>
    </w:p>
  </w:endnote>
  <w:endnote w:type="continuationSeparator" w:id="0">
    <w:p w14:paraId="2A6EB7F8" w14:textId="77777777" w:rsidR="00595E83" w:rsidRPr="00AC76AE" w:rsidRDefault="00595E83">
      <w:r w:rsidRPr="00AC76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1AF1" w14:textId="77777777" w:rsidR="00064002" w:rsidRPr="00AC76A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7588" w14:textId="77777777" w:rsidR="00064002" w:rsidRPr="00AC76A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2E90" w14:textId="77777777" w:rsidR="00064002" w:rsidRPr="00AC76A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6BAD0" w14:textId="77777777" w:rsidR="00595E83" w:rsidRPr="00AC76AE" w:rsidRDefault="00595E83">
      <w:r w:rsidRPr="00AC76AE">
        <w:separator/>
      </w:r>
    </w:p>
  </w:footnote>
  <w:footnote w:type="continuationSeparator" w:id="0">
    <w:p w14:paraId="3CB9A7FD" w14:textId="77777777" w:rsidR="00595E83" w:rsidRPr="00AC76AE" w:rsidRDefault="00595E83">
      <w:r w:rsidRPr="00AC76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03CED" w14:textId="77777777" w:rsidR="00064002" w:rsidRPr="00AC76A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EE4E" w14:textId="77777777" w:rsidR="00064002" w:rsidRPr="00AC76A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C469" w14:textId="77777777" w:rsidR="00064002" w:rsidRPr="00AC76A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25048768">
    <w:abstractNumId w:val="9"/>
  </w:num>
  <w:num w:numId="2" w16cid:durableId="935092572">
    <w:abstractNumId w:val="9"/>
  </w:num>
  <w:num w:numId="3" w16cid:durableId="278803432">
    <w:abstractNumId w:val="7"/>
  </w:num>
  <w:num w:numId="4" w16cid:durableId="1502238377">
    <w:abstractNumId w:val="7"/>
  </w:num>
  <w:num w:numId="5" w16cid:durableId="2030717691">
    <w:abstractNumId w:val="6"/>
  </w:num>
  <w:num w:numId="6" w16cid:durableId="239369019">
    <w:abstractNumId w:val="6"/>
  </w:num>
  <w:num w:numId="7" w16cid:durableId="6911017">
    <w:abstractNumId w:val="5"/>
  </w:num>
  <w:num w:numId="8" w16cid:durableId="146555292">
    <w:abstractNumId w:val="5"/>
  </w:num>
  <w:num w:numId="9" w16cid:durableId="1188524230">
    <w:abstractNumId w:val="4"/>
  </w:num>
  <w:num w:numId="10" w16cid:durableId="1934775114">
    <w:abstractNumId w:val="4"/>
  </w:num>
  <w:num w:numId="11" w16cid:durableId="1460496293">
    <w:abstractNumId w:val="8"/>
  </w:num>
  <w:num w:numId="12" w16cid:durableId="1498883739">
    <w:abstractNumId w:val="8"/>
  </w:num>
  <w:num w:numId="13" w16cid:durableId="363791495">
    <w:abstractNumId w:val="3"/>
  </w:num>
  <w:num w:numId="14" w16cid:durableId="997809226">
    <w:abstractNumId w:val="3"/>
  </w:num>
  <w:num w:numId="15" w16cid:durableId="100878500">
    <w:abstractNumId w:val="2"/>
  </w:num>
  <w:num w:numId="16" w16cid:durableId="174537165">
    <w:abstractNumId w:val="2"/>
  </w:num>
  <w:num w:numId="17" w16cid:durableId="1591696215">
    <w:abstractNumId w:val="1"/>
  </w:num>
  <w:num w:numId="18" w16cid:durableId="72245675">
    <w:abstractNumId w:val="1"/>
  </w:num>
  <w:num w:numId="19" w16cid:durableId="1444417454">
    <w:abstractNumId w:val="0"/>
  </w:num>
  <w:num w:numId="20" w16cid:durableId="958343202">
    <w:abstractNumId w:val="0"/>
  </w:num>
  <w:num w:numId="21" w16cid:durableId="1931500938">
    <w:abstractNumId w:val="9"/>
  </w:num>
  <w:num w:numId="22" w16cid:durableId="586304358">
    <w:abstractNumId w:val="7"/>
  </w:num>
  <w:num w:numId="23" w16cid:durableId="1668558107">
    <w:abstractNumId w:val="6"/>
  </w:num>
  <w:num w:numId="24" w16cid:durableId="1613588667">
    <w:abstractNumId w:val="5"/>
  </w:num>
  <w:num w:numId="25" w16cid:durableId="1486051284">
    <w:abstractNumId w:val="4"/>
  </w:num>
  <w:num w:numId="26" w16cid:durableId="1077558999">
    <w:abstractNumId w:val="8"/>
  </w:num>
  <w:num w:numId="27" w16cid:durableId="1483350706">
    <w:abstractNumId w:val="3"/>
  </w:num>
  <w:num w:numId="28" w16cid:durableId="1391922438">
    <w:abstractNumId w:val="2"/>
  </w:num>
  <w:num w:numId="29" w16cid:durableId="1622568904">
    <w:abstractNumId w:val="1"/>
  </w:num>
  <w:num w:numId="30" w16cid:durableId="346324859">
    <w:abstractNumId w:val="0"/>
  </w:num>
  <w:num w:numId="31" w16cid:durableId="1123033257">
    <w:abstractNumId w:val="9"/>
  </w:num>
  <w:num w:numId="32" w16cid:durableId="802423736">
    <w:abstractNumId w:val="7"/>
  </w:num>
  <w:num w:numId="33" w16cid:durableId="562176775">
    <w:abstractNumId w:val="6"/>
  </w:num>
  <w:num w:numId="34" w16cid:durableId="1482770605">
    <w:abstractNumId w:val="5"/>
  </w:num>
  <w:num w:numId="35" w16cid:durableId="150216658">
    <w:abstractNumId w:val="4"/>
  </w:num>
  <w:num w:numId="36" w16cid:durableId="1572153767">
    <w:abstractNumId w:val="8"/>
  </w:num>
  <w:num w:numId="37" w16cid:durableId="1123771898">
    <w:abstractNumId w:val="3"/>
  </w:num>
  <w:num w:numId="38" w16cid:durableId="914512572">
    <w:abstractNumId w:val="2"/>
  </w:num>
  <w:num w:numId="39" w16cid:durableId="1042824012">
    <w:abstractNumId w:val="1"/>
  </w:num>
  <w:num w:numId="40" w16cid:durableId="1572890358">
    <w:abstractNumId w:val="0"/>
  </w:num>
  <w:num w:numId="41" w16cid:durableId="1065026992">
    <w:abstractNumId w:val="10"/>
  </w:num>
  <w:num w:numId="42" w16cid:durableId="1795445082">
    <w:abstractNumId w:val="10"/>
  </w:num>
  <w:num w:numId="43" w16cid:durableId="1896239192">
    <w:abstractNumId w:val="10"/>
  </w:num>
  <w:num w:numId="44" w16cid:durableId="12955274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37/2025"/>
    <w:docVar w:name="dvlangue" w:val="RO"/>
    <w:docVar w:name="dvnumam" w:val="41"/>
    <w:docVar w:name="dvpe" w:val="765.300"/>
    <w:docVar w:name="dvrapporteur" w:val="Raportoare: "/>
    <w:docVar w:name="dvstar" w:val="***I"/>
    <w:docVar w:name="dvtitre" w:val="Rezoluția legislativă a Parlamentului European din 18 iunie 2025 referitoare la propunerea de decizie a Parlamentului European și a Consiliului privind acordarea unei asistențe macrofinanciare Republicii Arabe Egipt(COM(2024)0461 – C10-0009/2024 – 2024/0071(COD))"/>
  </w:docVars>
  <w:rsids>
    <w:rsidRoot w:val="00595E83"/>
    <w:rsid w:val="00002272"/>
    <w:rsid w:val="000419A4"/>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5E83"/>
    <w:rsid w:val="005C2568"/>
    <w:rsid w:val="005F1B17"/>
    <w:rsid w:val="006037C0"/>
    <w:rsid w:val="00635B2D"/>
    <w:rsid w:val="0064395E"/>
    <w:rsid w:val="006631B6"/>
    <w:rsid w:val="00680577"/>
    <w:rsid w:val="00685F6B"/>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C76AE"/>
    <w:rsid w:val="00AE0928"/>
    <w:rsid w:val="00AF3B82"/>
    <w:rsid w:val="00B1029A"/>
    <w:rsid w:val="00B12E95"/>
    <w:rsid w:val="00B22876"/>
    <w:rsid w:val="00B558F0"/>
    <w:rsid w:val="00B76A6D"/>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B5C860"/>
  <w15:chartTrackingRefBased/>
  <w15:docId w15:val="{89E83011-524B-4033-B64B-7AAD487F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85F6B"/>
    <w:rPr>
      <w:b/>
      <w:kern w:val="28"/>
      <w:sz w:val="28"/>
      <w:lang w:val="fr-FR" w:eastAsia="fr-FR"/>
    </w:rPr>
  </w:style>
  <w:style w:type="character" w:customStyle="1" w:styleId="Heading2Char">
    <w:name w:val="Heading 2 Char"/>
    <w:basedOn w:val="DefaultParagraphFont"/>
    <w:link w:val="Heading2"/>
    <w:semiHidden/>
    <w:rsid w:val="00685F6B"/>
    <w:rPr>
      <w:sz w:val="24"/>
      <w:lang w:val="fr-FR" w:eastAsia="fr-FR"/>
    </w:rPr>
  </w:style>
  <w:style w:type="character" w:customStyle="1" w:styleId="Heading3Char">
    <w:name w:val="Heading 3 Char"/>
    <w:basedOn w:val="DefaultParagraphFont"/>
    <w:link w:val="Heading3"/>
    <w:semiHidden/>
    <w:rsid w:val="00685F6B"/>
    <w:rPr>
      <w:rFonts w:ascii="Arial" w:hAnsi="Arial"/>
      <w:sz w:val="24"/>
      <w:lang w:val="fr-FR" w:eastAsia="fr-FR"/>
    </w:rPr>
  </w:style>
  <w:style w:type="character" w:customStyle="1" w:styleId="Heading4Char">
    <w:name w:val="Heading 4 Char"/>
    <w:basedOn w:val="DefaultParagraphFont"/>
    <w:link w:val="Heading4"/>
    <w:semiHidden/>
    <w:rsid w:val="00685F6B"/>
    <w:rPr>
      <w:sz w:val="24"/>
      <w:lang w:val="en-US" w:eastAsia="fr-FR"/>
    </w:rPr>
  </w:style>
  <w:style w:type="character" w:customStyle="1" w:styleId="Heading5Char">
    <w:name w:val="Heading 5 Char"/>
    <w:basedOn w:val="DefaultParagraphFont"/>
    <w:link w:val="Heading5"/>
    <w:semiHidden/>
    <w:rsid w:val="00685F6B"/>
    <w:rPr>
      <w:sz w:val="24"/>
      <w:lang w:val="en-US" w:eastAsia="fr-FR"/>
    </w:rPr>
  </w:style>
  <w:style w:type="character" w:customStyle="1" w:styleId="Heading6Char">
    <w:name w:val="Heading 6 Char"/>
    <w:basedOn w:val="DefaultParagraphFont"/>
    <w:link w:val="Heading6"/>
    <w:semiHidden/>
    <w:rsid w:val="00685F6B"/>
    <w:rPr>
      <w:i/>
      <w:sz w:val="22"/>
      <w:lang w:val="ro-RO"/>
    </w:rPr>
  </w:style>
  <w:style w:type="character" w:customStyle="1" w:styleId="Heading7Char">
    <w:name w:val="Heading 7 Char"/>
    <w:basedOn w:val="DefaultParagraphFont"/>
    <w:link w:val="Heading7"/>
    <w:semiHidden/>
    <w:rsid w:val="00685F6B"/>
    <w:rPr>
      <w:rFonts w:ascii="Arial" w:hAnsi="Arial"/>
      <w:sz w:val="24"/>
      <w:lang w:val="ro-RO"/>
    </w:rPr>
  </w:style>
  <w:style w:type="character" w:customStyle="1" w:styleId="Heading8Char">
    <w:name w:val="Heading 8 Char"/>
    <w:basedOn w:val="DefaultParagraphFont"/>
    <w:link w:val="Heading8"/>
    <w:semiHidden/>
    <w:rsid w:val="00685F6B"/>
    <w:rPr>
      <w:rFonts w:ascii="Arial" w:hAnsi="Arial"/>
      <w:i/>
      <w:sz w:val="24"/>
      <w:lang w:val="ro-RO"/>
    </w:rPr>
  </w:style>
  <w:style w:type="character" w:customStyle="1" w:styleId="Heading9Char">
    <w:name w:val="Heading 9 Char"/>
    <w:basedOn w:val="DefaultParagraphFont"/>
    <w:link w:val="Heading9"/>
    <w:semiHidden/>
    <w:rsid w:val="00685F6B"/>
    <w:rPr>
      <w:rFonts w:ascii="Arial" w:hAnsi="Arial"/>
      <w:b/>
      <w:i/>
      <w:sz w:val="18"/>
      <w:lang w:val="ro-RO"/>
    </w:rPr>
  </w:style>
  <w:style w:type="paragraph" w:styleId="TOCHeading">
    <w:name w:val="TOC Heading"/>
    <w:basedOn w:val="Normal"/>
    <w:next w:val="Normal"/>
    <w:uiPriority w:val="39"/>
    <w:unhideWhenUsed/>
    <w:qFormat/>
    <w:rsid w:val="00685F6B"/>
    <w:pPr>
      <w:widowControl/>
      <w:spacing w:after="240"/>
    </w:pPr>
    <w:rPr>
      <w:lang w:val="en-GB"/>
    </w:rPr>
  </w:style>
  <w:style w:type="paragraph" w:customStyle="1" w:styleId="EPFooter2">
    <w:name w:val="EPFooter2"/>
    <w:basedOn w:val="Normal"/>
    <w:next w:val="Normal"/>
    <w:rsid w:val="00685F6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85F6B"/>
    <w:pPr>
      <w:keepNext/>
      <w:spacing w:after="240"/>
      <w:jc w:val="right"/>
    </w:pPr>
    <w:rPr>
      <w:rFonts w:ascii="Arial" w:hAnsi="Arial"/>
      <w:b/>
    </w:rPr>
  </w:style>
  <w:style w:type="paragraph" w:customStyle="1" w:styleId="Normal6a">
    <w:name w:val="Normal6a"/>
    <w:basedOn w:val="Normal"/>
    <w:rsid w:val="00685F6B"/>
    <w:pPr>
      <w:spacing w:after="120"/>
    </w:pPr>
  </w:style>
  <w:style w:type="paragraph" w:customStyle="1" w:styleId="PageHeading">
    <w:name w:val="PageHeading"/>
    <w:basedOn w:val="Normal"/>
    <w:rsid w:val="00685F6B"/>
    <w:pPr>
      <w:keepNext/>
      <w:spacing w:after="480"/>
      <w:jc w:val="center"/>
    </w:pPr>
    <w:rPr>
      <w:rFonts w:ascii="Arial" w:hAnsi="Arial" w:cs="Arial"/>
      <w:b/>
    </w:rPr>
  </w:style>
  <w:style w:type="paragraph" w:customStyle="1" w:styleId="NormalBold">
    <w:name w:val="NormalBold"/>
    <w:basedOn w:val="Normal"/>
    <w:link w:val="NormalBoldChar"/>
    <w:rsid w:val="00685F6B"/>
    <w:rPr>
      <w:b/>
    </w:rPr>
  </w:style>
  <w:style w:type="paragraph" w:customStyle="1" w:styleId="NormalBold12a">
    <w:name w:val="NormalBold12a"/>
    <w:basedOn w:val="Normal"/>
    <w:rsid w:val="00685F6B"/>
    <w:pPr>
      <w:spacing w:after="240"/>
    </w:pPr>
    <w:rPr>
      <w:b/>
    </w:rPr>
  </w:style>
  <w:style w:type="paragraph" w:customStyle="1" w:styleId="AmJustText">
    <w:name w:val="AmJustText"/>
    <w:basedOn w:val="Normal"/>
    <w:rsid w:val="00685F6B"/>
    <w:pPr>
      <w:spacing w:after="240"/>
    </w:pPr>
    <w:rPr>
      <w:i/>
    </w:rPr>
  </w:style>
  <w:style w:type="paragraph" w:customStyle="1" w:styleId="NormalHanging12a">
    <w:name w:val="NormalHanging12a"/>
    <w:basedOn w:val="Normal"/>
    <w:link w:val="NormalHanging12aChar"/>
    <w:rsid w:val="00685F6B"/>
    <w:pPr>
      <w:spacing w:after="240"/>
      <w:ind w:left="567" w:hanging="567"/>
    </w:pPr>
  </w:style>
  <w:style w:type="paragraph" w:customStyle="1" w:styleId="CoverNormal24a">
    <w:name w:val="CoverNormal24a"/>
    <w:basedOn w:val="Normal"/>
    <w:rsid w:val="00685F6B"/>
    <w:pPr>
      <w:spacing w:after="480"/>
      <w:ind w:left="1417"/>
    </w:pPr>
  </w:style>
  <w:style w:type="paragraph" w:customStyle="1" w:styleId="CoverNormal">
    <w:name w:val="CoverNormal"/>
    <w:basedOn w:val="Normal"/>
    <w:rsid w:val="00685F6B"/>
    <w:pPr>
      <w:ind w:left="1418"/>
    </w:pPr>
  </w:style>
  <w:style w:type="paragraph" w:customStyle="1" w:styleId="AmCrossRef">
    <w:name w:val="AmCrossRef"/>
    <w:basedOn w:val="Normal"/>
    <w:rsid w:val="00685F6B"/>
    <w:pPr>
      <w:spacing w:before="240" w:after="240"/>
      <w:jc w:val="center"/>
    </w:pPr>
    <w:rPr>
      <w:i/>
    </w:rPr>
  </w:style>
  <w:style w:type="paragraph" w:customStyle="1" w:styleId="AmJustTitle">
    <w:name w:val="AmJustTitle"/>
    <w:basedOn w:val="Normal"/>
    <w:next w:val="AmJustText"/>
    <w:rsid w:val="00685F6B"/>
    <w:pPr>
      <w:keepNext/>
      <w:spacing w:before="240" w:after="240"/>
      <w:jc w:val="center"/>
    </w:pPr>
    <w:rPr>
      <w:i/>
    </w:rPr>
  </w:style>
  <w:style w:type="paragraph" w:customStyle="1" w:styleId="CoverReference">
    <w:name w:val="CoverReference"/>
    <w:basedOn w:val="Normal"/>
    <w:rsid w:val="00685F6B"/>
    <w:pPr>
      <w:spacing w:before="1080"/>
      <w:jc w:val="right"/>
    </w:pPr>
    <w:rPr>
      <w:rFonts w:ascii="Arial" w:hAnsi="Arial" w:cs="Arial"/>
      <w:b/>
    </w:rPr>
  </w:style>
  <w:style w:type="paragraph" w:customStyle="1" w:styleId="CoverDocType">
    <w:name w:val="CoverDocType"/>
    <w:basedOn w:val="Normal"/>
    <w:rsid w:val="00685F6B"/>
    <w:pPr>
      <w:ind w:left="1418"/>
    </w:pPr>
    <w:rPr>
      <w:rFonts w:ascii="Arial" w:hAnsi="Arial"/>
      <w:b/>
      <w:sz w:val="48"/>
    </w:rPr>
  </w:style>
  <w:style w:type="paragraph" w:customStyle="1" w:styleId="CoverDocType24a">
    <w:name w:val="CoverDocType24a"/>
    <w:basedOn w:val="Normal"/>
    <w:rsid w:val="00685F6B"/>
    <w:pPr>
      <w:spacing w:after="480"/>
      <w:ind w:left="1418"/>
    </w:pPr>
    <w:rPr>
      <w:rFonts w:ascii="Arial" w:hAnsi="Arial"/>
      <w:b/>
      <w:sz w:val="48"/>
    </w:rPr>
  </w:style>
  <w:style w:type="paragraph" w:customStyle="1" w:styleId="CoverDate">
    <w:name w:val="CoverDate"/>
    <w:basedOn w:val="Normal"/>
    <w:rsid w:val="00685F6B"/>
    <w:pPr>
      <w:spacing w:before="240" w:after="1200"/>
    </w:pPr>
  </w:style>
  <w:style w:type="paragraph" w:styleId="Header">
    <w:name w:val="header"/>
    <w:basedOn w:val="Normal"/>
    <w:link w:val="HeaderChar"/>
    <w:rsid w:val="00685F6B"/>
    <w:pPr>
      <w:tabs>
        <w:tab w:val="center" w:pos="4513"/>
        <w:tab w:val="right" w:pos="9026"/>
      </w:tabs>
    </w:pPr>
  </w:style>
  <w:style w:type="character" w:customStyle="1" w:styleId="HeaderChar">
    <w:name w:val="Header Char"/>
    <w:basedOn w:val="DefaultParagraphFont"/>
    <w:link w:val="Header"/>
    <w:rsid w:val="00685F6B"/>
    <w:rPr>
      <w:sz w:val="24"/>
      <w:lang w:val="ro-RO"/>
    </w:rPr>
  </w:style>
  <w:style w:type="paragraph" w:customStyle="1" w:styleId="AmOrLang">
    <w:name w:val="AmOrLang"/>
    <w:basedOn w:val="Normal"/>
    <w:rsid w:val="00685F6B"/>
    <w:pPr>
      <w:spacing w:before="240" w:after="240"/>
      <w:jc w:val="right"/>
    </w:pPr>
  </w:style>
  <w:style w:type="paragraph" w:customStyle="1" w:styleId="AmColumnHeading">
    <w:name w:val="AmColumnHeading"/>
    <w:basedOn w:val="Normal"/>
    <w:rsid w:val="00685F6B"/>
    <w:pPr>
      <w:spacing w:after="240"/>
      <w:jc w:val="center"/>
    </w:pPr>
    <w:rPr>
      <w:i/>
    </w:rPr>
  </w:style>
  <w:style w:type="paragraph" w:customStyle="1" w:styleId="AmNumberTabs">
    <w:name w:val="AmNumberTabs"/>
    <w:basedOn w:val="Normal"/>
    <w:link w:val="AmNumberTabsChar"/>
    <w:rsid w:val="00685F6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85F6B"/>
    <w:pPr>
      <w:spacing w:before="240"/>
    </w:pPr>
    <w:rPr>
      <w:b/>
    </w:rPr>
  </w:style>
  <w:style w:type="paragraph" w:customStyle="1" w:styleId="EPBody">
    <w:name w:val="EPBody"/>
    <w:basedOn w:val="Normal"/>
    <w:rsid w:val="00685F6B"/>
    <w:pPr>
      <w:jc w:val="center"/>
    </w:pPr>
    <w:rPr>
      <w:rFonts w:ascii="Arial" w:hAnsi="Arial" w:cs="Arial"/>
      <w:i/>
      <w:sz w:val="22"/>
      <w:szCs w:val="22"/>
    </w:rPr>
  </w:style>
  <w:style w:type="paragraph" w:customStyle="1" w:styleId="EPFooter">
    <w:name w:val="EPFooter"/>
    <w:basedOn w:val="Normal"/>
    <w:rsid w:val="00685F6B"/>
    <w:pPr>
      <w:tabs>
        <w:tab w:val="center" w:pos="4535"/>
        <w:tab w:val="right" w:pos="9071"/>
      </w:tabs>
      <w:spacing w:before="240" w:after="240"/>
    </w:pPr>
    <w:rPr>
      <w:color w:val="010000"/>
      <w:sz w:val="22"/>
    </w:rPr>
  </w:style>
  <w:style w:type="paragraph" w:customStyle="1" w:styleId="EPComma">
    <w:name w:val="EPComma"/>
    <w:basedOn w:val="Normal"/>
    <w:rsid w:val="00685F6B"/>
    <w:pPr>
      <w:spacing w:before="480" w:after="240"/>
    </w:pPr>
  </w:style>
  <w:style w:type="paragraph" w:customStyle="1" w:styleId="Lgendesigne">
    <w:name w:val="Légende signe"/>
    <w:basedOn w:val="Normal"/>
    <w:rsid w:val="00685F6B"/>
    <w:pPr>
      <w:tabs>
        <w:tab w:val="right" w:pos="454"/>
        <w:tab w:val="left" w:pos="737"/>
      </w:tabs>
      <w:ind w:left="737" w:hanging="737"/>
    </w:pPr>
    <w:rPr>
      <w:snapToGrid w:val="0"/>
      <w:sz w:val="18"/>
      <w:lang w:eastAsia="en-US"/>
    </w:rPr>
  </w:style>
  <w:style w:type="paragraph" w:customStyle="1" w:styleId="Lgendetitre">
    <w:name w:val="Légende titre"/>
    <w:basedOn w:val="Normal"/>
    <w:rsid w:val="00685F6B"/>
    <w:pPr>
      <w:spacing w:before="240" w:after="240"/>
    </w:pPr>
    <w:rPr>
      <w:b/>
      <w:i/>
      <w:snapToGrid w:val="0"/>
      <w:lang w:eastAsia="en-US"/>
    </w:rPr>
  </w:style>
  <w:style w:type="paragraph" w:customStyle="1" w:styleId="Lgendestandard">
    <w:name w:val="Légende standard"/>
    <w:basedOn w:val="Normal"/>
    <w:rsid w:val="00685F6B"/>
    <w:rPr>
      <w:sz w:val="18"/>
    </w:rPr>
  </w:style>
  <w:style w:type="paragraph" w:customStyle="1" w:styleId="Normal24a">
    <w:name w:val="Normal24a"/>
    <w:basedOn w:val="Normal"/>
    <w:rsid w:val="00685F6B"/>
    <w:pPr>
      <w:spacing w:after="480"/>
    </w:pPr>
  </w:style>
  <w:style w:type="paragraph" w:customStyle="1" w:styleId="NormalBoldCenter">
    <w:name w:val="NormalBoldCenter"/>
    <w:basedOn w:val="Normal"/>
    <w:rsid w:val="00685F6B"/>
    <w:pPr>
      <w:jc w:val="center"/>
    </w:pPr>
    <w:rPr>
      <w:b/>
    </w:rPr>
  </w:style>
  <w:style w:type="paragraph" w:customStyle="1" w:styleId="Footprint12b">
    <w:name w:val="Footprint12b"/>
    <w:basedOn w:val="Normal"/>
    <w:rsid w:val="00685F6B"/>
    <w:pPr>
      <w:spacing w:before="240"/>
    </w:pPr>
    <w:rPr>
      <w:szCs w:val="24"/>
    </w:rPr>
  </w:style>
  <w:style w:type="paragraph" w:customStyle="1" w:styleId="NormalSingle">
    <w:name w:val="NormalSingle"/>
    <w:basedOn w:val="Normal"/>
    <w:qFormat/>
    <w:rsid w:val="00685F6B"/>
    <w:rPr>
      <w:szCs w:val="24"/>
    </w:rPr>
  </w:style>
  <w:style w:type="paragraph" w:styleId="Footer">
    <w:name w:val="footer"/>
    <w:basedOn w:val="Normal"/>
    <w:link w:val="FooterChar"/>
    <w:rsid w:val="00685F6B"/>
    <w:pPr>
      <w:tabs>
        <w:tab w:val="center" w:pos="4513"/>
        <w:tab w:val="right" w:pos="9026"/>
      </w:tabs>
    </w:pPr>
  </w:style>
  <w:style w:type="character" w:customStyle="1" w:styleId="FooterChar">
    <w:name w:val="Footer Char"/>
    <w:basedOn w:val="DefaultParagraphFont"/>
    <w:link w:val="Footer"/>
    <w:rsid w:val="00685F6B"/>
    <w:rPr>
      <w:sz w:val="24"/>
      <w:lang w:val="ro-RO"/>
    </w:rPr>
  </w:style>
  <w:style w:type="character" w:styleId="Hyperlink">
    <w:name w:val="Hyperlink"/>
    <w:basedOn w:val="DefaultParagraphFont"/>
    <w:rsid w:val="00685F6B"/>
    <w:rPr>
      <w:color w:val="0563C1" w:themeColor="hyperlink"/>
      <w:u w:val="single"/>
    </w:rPr>
  </w:style>
  <w:style w:type="character" w:customStyle="1" w:styleId="NormalHanging12aChar">
    <w:name w:val="NormalHanging12a Char"/>
    <w:basedOn w:val="DefaultParagraphFont"/>
    <w:link w:val="NormalHanging12a"/>
    <w:locked/>
    <w:rsid w:val="00685F6B"/>
    <w:rPr>
      <w:sz w:val="24"/>
      <w:lang w:val="ro-RO"/>
    </w:rPr>
  </w:style>
  <w:style w:type="character" w:customStyle="1" w:styleId="Normal6Char">
    <w:name w:val="Normal6 Char"/>
    <w:basedOn w:val="DefaultParagraphFont"/>
    <w:link w:val="Normal6"/>
    <w:locked/>
    <w:rsid w:val="00685F6B"/>
    <w:rPr>
      <w:sz w:val="24"/>
      <w:lang w:val="ro-RO"/>
    </w:rPr>
  </w:style>
  <w:style w:type="paragraph" w:customStyle="1" w:styleId="Normal6">
    <w:name w:val="Normal6"/>
    <w:basedOn w:val="Normal"/>
    <w:link w:val="Normal6Char"/>
    <w:rsid w:val="00685F6B"/>
    <w:pPr>
      <w:spacing w:after="120"/>
    </w:pPr>
  </w:style>
  <w:style w:type="character" w:customStyle="1" w:styleId="NormalBoldChar">
    <w:name w:val="NormalBold Char"/>
    <w:basedOn w:val="DefaultParagraphFont"/>
    <w:link w:val="NormalBold"/>
    <w:locked/>
    <w:rsid w:val="00685F6B"/>
    <w:rPr>
      <w:b/>
      <w:sz w:val="24"/>
      <w:lang w:val="ro-RO"/>
    </w:rPr>
  </w:style>
  <w:style w:type="paragraph" w:customStyle="1" w:styleId="ColumnHeading">
    <w:name w:val="ColumnHeading"/>
    <w:basedOn w:val="Normal"/>
    <w:rsid w:val="00685F6B"/>
    <w:pPr>
      <w:spacing w:after="240"/>
      <w:jc w:val="center"/>
    </w:pPr>
    <w:rPr>
      <w:i/>
    </w:rPr>
  </w:style>
  <w:style w:type="paragraph" w:customStyle="1" w:styleId="AMNumberTabs0">
    <w:name w:val="AMNumberTabs"/>
    <w:basedOn w:val="Normal"/>
    <w:rsid w:val="00685F6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685F6B"/>
    <w:pPr>
      <w:jc w:val="right"/>
    </w:pPr>
    <w:rPr>
      <w:lang w:val="ro-RO"/>
    </w:rPr>
  </w:style>
  <w:style w:type="paragraph" w:styleId="BalloonText">
    <w:name w:val="Balloon Text"/>
    <w:basedOn w:val="Normal"/>
    <w:link w:val="BalloonTextChar"/>
    <w:unhideWhenUsed/>
    <w:rsid w:val="00685F6B"/>
    <w:rPr>
      <w:rFonts w:ascii="Segoe UI" w:hAnsi="Segoe UI" w:cs="Segoe UI"/>
      <w:sz w:val="18"/>
      <w:szCs w:val="18"/>
    </w:rPr>
  </w:style>
  <w:style w:type="character" w:customStyle="1" w:styleId="BalloonTextChar">
    <w:name w:val="Balloon Text Char"/>
    <w:basedOn w:val="DefaultParagraphFont"/>
    <w:link w:val="BalloonText"/>
    <w:rsid w:val="00685F6B"/>
    <w:rPr>
      <w:rFonts w:ascii="Segoe UI" w:hAnsi="Segoe UI" w:cs="Segoe UI"/>
      <w:sz w:val="18"/>
      <w:szCs w:val="18"/>
      <w:lang w:val="ro-RO"/>
    </w:rPr>
  </w:style>
  <w:style w:type="character" w:styleId="CommentReference">
    <w:name w:val="annotation reference"/>
    <w:basedOn w:val="DefaultParagraphFont"/>
    <w:rsid w:val="00685F6B"/>
    <w:rPr>
      <w:sz w:val="16"/>
      <w:szCs w:val="16"/>
    </w:rPr>
  </w:style>
  <w:style w:type="paragraph" w:styleId="CommentText">
    <w:name w:val="annotation text"/>
    <w:basedOn w:val="Normal"/>
    <w:link w:val="CommentTextChar"/>
    <w:rsid w:val="00685F6B"/>
    <w:rPr>
      <w:sz w:val="20"/>
    </w:rPr>
  </w:style>
  <w:style w:type="character" w:customStyle="1" w:styleId="CommentTextChar">
    <w:name w:val="Comment Text Char"/>
    <w:basedOn w:val="DefaultParagraphFont"/>
    <w:link w:val="CommentText"/>
    <w:rsid w:val="00685F6B"/>
    <w:rPr>
      <w:lang w:val="ro-RO"/>
    </w:rPr>
  </w:style>
  <w:style w:type="paragraph" w:styleId="CommentSubject">
    <w:name w:val="annotation subject"/>
    <w:basedOn w:val="CommentText"/>
    <w:next w:val="CommentText"/>
    <w:link w:val="CommentSubjectChar"/>
    <w:unhideWhenUsed/>
    <w:rsid w:val="00685F6B"/>
    <w:rPr>
      <w:b/>
      <w:bCs/>
    </w:rPr>
  </w:style>
  <w:style w:type="character" w:customStyle="1" w:styleId="CommentSubjectChar">
    <w:name w:val="Comment Subject Char"/>
    <w:basedOn w:val="CommentTextChar"/>
    <w:link w:val="CommentSubject"/>
    <w:rsid w:val="00685F6B"/>
    <w:rPr>
      <w:b/>
      <w:bCs/>
      <w:lang w:val="ro-RO"/>
    </w:rPr>
  </w:style>
  <w:style w:type="character" w:customStyle="1" w:styleId="AmNumberTabsChar">
    <w:name w:val="AmNumberTabs Char"/>
    <w:basedOn w:val="DefaultParagraphFont"/>
    <w:link w:val="AmNumberTabs"/>
    <w:rsid w:val="00685F6B"/>
    <w:rPr>
      <w:b/>
      <w:sz w:val="24"/>
      <w:lang w:val="ro-RO"/>
    </w:rPr>
  </w:style>
  <w:style w:type="character" w:customStyle="1" w:styleId="NormalBold12bChar">
    <w:name w:val="NormalBold12b Char"/>
    <w:basedOn w:val="AmNumberTabsChar"/>
    <w:link w:val="NormalBold12b"/>
    <w:rsid w:val="00685F6B"/>
    <w:rPr>
      <w:b/>
      <w:sz w:val="24"/>
      <w:lang w:val="ro-RO"/>
    </w:rPr>
  </w:style>
  <w:style w:type="paragraph" w:customStyle="1" w:styleId="Normal12a">
    <w:name w:val="Normal12a"/>
    <w:basedOn w:val="Normal"/>
    <w:rsid w:val="00685F6B"/>
    <w:pPr>
      <w:spacing w:after="240"/>
    </w:pPr>
  </w:style>
  <w:style w:type="paragraph" w:customStyle="1" w:styleId="PageHeadingNotTOC">
    <w:name w:val="PageHeadingNotTOC"/>
    <w:basedOn w:val="Normal"/>
    <w:rsid w:val="00685F6B"/>
    <w:pPr>
      <w:keepNext/>
      <w:spacing w:after="480"/>
      <w:jc w:val="center"/>
    </w:pPr>
    <w:rPr>
      <w:rFonts w:ascii="Arial" w:hAnsi="Arial" w:cs="Arial"/>
      <w:b/>
    </w:rPr>
  </w:style>
  <w:style w:type="paragraph" w:customStyle="1" w:styleId="RollCallSymbols14pt">
    <w:name w:val="RollCallSymbols14pt"/>
    <w:basedOn w:val="Normal"/>
    <w:rsid w:val="00685F6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85F6B"/>
    <w:pPr>
      <w:tabs>
        <w:tab w:val="center" w:pos="284"/>
        <w:tab w:val="left" w:pos="426"/>
      </w:tabs>
    </w:pPr>
    <w:rPr>
      <w:snapToGrid w:val="0"/>
      <w:lang w:eastAsia="en-US"/>
    </w:rPr>
  </w:style>
  <w:style w:type="paragraph" w:customStyle="1" w:styleId="RollCallVotes">
    <w:name w:val="RollCallVotes"/>
    <w:basedOn w:val="Normal"/>
    <w:rsid w:val="00685F6B"/>
    <w:pPr>
      <w:spacing w:before="120" w:after="120"/>
      <w:jc w:val="center"/>
    </w:pPr>
    <w:rPr>
      <w:b/>
      <w:bCs/>
      <w:snapToGrid w:val="0"/>
      <w:sz w:val="16"/>
      <w:lang w:eastAsia="en-US"/>
    </w:rPr>
  </w:style>
  <w:style w:type="paragraph" w:customStyle="1" w:styleId="RollCallTable">
    <w:name w:val="RollCallTable"/>
    <w:basedOn w:val="Normal"/>
    <w:rsid w:val="00685F6B"/>
    <w:pPr>
      <w:spacing w:before="120" w:after="120"/>
    </w:pPr>
    <w:rPr>
      <w:snapToGrid w:val="0"/>
      <w:sz w:val="16"/>
      <w:lang w:eastAsia="en-US"/>
    </w:rPr>
  </w:style>
  <w:style w:type="paragraph" w:customStyle="1" w:styleId="AmHeadingPA">
    <w:name w:val="AmHeadingPA"/>
    <w:basedOn w:val="Normal"/>
    <w:next w:val="Normal"/>
    <w:rsid w:val="00685F6B"/>
    <w:pPr>
      <w:spacing w:before="480" w:after="240"/>
      <w:jc w:val="center"/>
    </w:pPr>
    <w:rPr>
      <w:rFonts w:ascii="Arial" w:hAnsi="Arial"/>
      <w:b/>
      <w:caps/>
      <w:snapToGrid w:val="0"/>
      <w:szCs w:val="24"/>
      <w:lang w:eastAsia="en-US"/>
    </w:rPr>
  </w:style>
  <w:style w:type="paragraph" w:customStyle="1" w:styleId="Normal12">
    <w:name w:val="Normal12"/>
    <w:basedOn w:val="Normal"/>
    <w:qFormat/>
    <w:rsid w:val="00685F6B"/>
    <w:pPr>
      <w:spacing w:after="240"/>
    </w:pPr>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860EC-DF6D-40C0-A8B2-2F87CE161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291</Words>
  <Characters>2085</Characters>
  <Application>Microsoft Office Word</Application>
  <DocSecurity>0</DocSecurity>
  <Lines>35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2025-09-25T11:38:00Z</dcterms:created>
  <dcterms:modified xsi:type="dcterms:W3CDTF">2025-09-25T11:38:00Z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P10_TA(2025)0125_</vt:lpwstr>
  </property>
  <property fmtid="{D5CDD505-2E9C-101B-9397-08002B2CF9AE}" pid="4" name="&lt;Type&gt;">
    <vt:lpwstr>RR</vt:lpwstr>
  </property>
</Properties>
</file>