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B3E4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B3E43" w:rsidRDefault="008612C4" w:rsidP="0010095E">
            <w:pPr>
              <w:pStyle w:val="EPName"/>
            </w:pPr>
            <w:r w:rsidRPr="00CB3E43">
              <w:t>Parlament Ewropew</w:t>
            </w:r>
          </w:p>
          <w:p w:rsidR="00751A4A" w:rsidRPr="00CB3E4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B3E43">
              <w:t>2024</w:t>
            </w:r>
            <w:r w:rsidR="00817416" w:rsidRPr="00CB3E43">
              <w:t>-202</w:t>
            </w:r>
            <w:r w:rsidRPr="00CB3E4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B3E43" w:rsidRDefault="00187494" w:rsidP="0010095E">
            <w:pPr>
              <w:pStyle w:val="EPLogo"/>
            </w:pPr>
            <w:r w:rsidRPr="00CB3E4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B3E43" w:rsidRDefault="00D058B8" w:rsidP="004C5D52">
      <w:pPr>
        <w:pStyle w:val="LineTop"/>
      </w:pPr>
    </w:p>
    <w:p w:rsidR="00680577" w:rsidRPr="00CB3E43" w:rsidRDefault="008612C4" w:rsidP="00680577">
      <w:pPr>
        <w:pStyle w:val="EPBodyTA1"/>
      </w:pPr>
      <w:r w:rsidRPr="00CB3E43">
        <w:t>TESTI ADOTTATI</w:t>
      </w:r>
    </w:p>
    <w:p w:rsidR="00D058B8" w:rsidRPr="00CB3E43" w:rsidRDefault="00D058B8" w:rsidP="00D058B8">
      <w:pPr>
        <w:pStyle w:val="LineBottom"/>
      </w:pPr>
    </w:p>
    <w:p w:rsidR="008612C4" w:rsidRPr="00CB3E43" w:rsidRDefault="008612C4" w:rsidP="008612C4">
      <w:pPr>
        <w:pStyle w:val="ATHeading1"/>
      </w:pPr>
      <w:bookmarkStart w:id="0" w:name="TANumber"/>
      <w:r w:rsidRPr="00CB3E43">
        <w:t>P10_TA(2024)00</w:t>
      </w:r>
      <w:r w:rsidR="008B491A">
        <w:t>57</w:t>
      </w:r>
      <w:bookmarkEnd w:id="0"/>
    </w:p>
    <w:p w:rsidR="008612C4" w:rsidRPr="00CB3E43" w:rsidRDefault="00120CAA" w:rsidP="008612C4">
      <w:pPr>
        <w:pStyle w:val="ATHeading2"/>
      </w:pPr>
      <w:proofErr w:type="spellStart"/>
      <w:r w:rsidRPr="00120CAA">
        <w:rPr>
          <w:bCs/>
          <w:lang w:val="es-ES"/>
        </w:rPr>
        <w:t>Il-waqfien</w:t>
      </w:r>
      <w:proofErr w:type="spellEnd"/>
      <w:r w:rsidRPr="00120CAA">
        <w:rPr>
          <w:bCs/>
          <w:lang w:val="es-ES"/>
        </w:rPr>
        <w:t xml:space="preserve"> tal-</w:t>
      </w:r>
      <w:proofErr w:type="spellStart"/>
      <w:r w:rsidRPr="00120CAA">
        <w:rPr>
          <w:bCs/>
          <w:lang w:val="es-ES"/>
        </w:rPr>
        <w:t>Pjattaforma</w:t>
      </w:r>
      <w:proofErr w:type="spellEnd"/>
      <w:r w:rsidRPr="00120CAA">
        <w:rPr>
          <w:bCs/>
          <w:lang w:val="es-ES"/>
        </w:rPr>
        <w:t xml:space="preserve"> </w:t>
      </w:r>
      <w:proofErr w:type="spellStart"/>
      <w:r w:rsidRPr="00120CAA">
        <w:rPr>
          <w:bCs/>
          <w:lang w:val="es-ES"/>
        </w:rPr>
        <w:t>Ewropea</w:t>
      </w:r>
      <w:proofErr w:type="spellEnd"/>
      <w:r w:rsidRPr="00120CAA">
        <w:rPr>
          <w:bCs/>
          <w:lang w:val="es-ES"/>
        </w:rPr>
        <w:t xml:space="preserve"> tal-ODR</w:t>
      </w:r>
    </w:p>
    <w:p w:rsidR="008612C4" w:rsidRPr="00CB3E43" w:rsidRDefault="008612C4" w:rsidP="008612C4">
      <w:pPr>
        <w:rPr>
          <w:i/>
          <w:vanish/>
        </w:rPr>
      </w:pPr>
      <w:r w:rsidRPr="00CB3E43">
        <w:rPr>
          <w:i/>
        </w:rPr>
        <w:fldChar w:fldCharType="begin"/>
      </w:r>
      <w:r w:rsidRPr="00CB3E43">
        <w:rPr>
          <w:i/>
        </w:rPr>
        <w:instrText xml:space="preserve"> TC"(</w:instrText>
      </w:r>
      <w:bookmarkStart w:id="1" w:name="DocNumber"/>
      <w:r w:rsidRPr="00CB3E43">
        <w:rPr>
          <w:i/>
        </w:rPr>
        <w:instrText>A10-0028/2024</w:instrText>
      </w:r>
      <w:bookmarkEnd w:id="1"/>
      <w:r w:rsidRPr="00CB3E43">
        <w:rPr>
          <w:i/>
        </w:rPr>
        <w:instrText xml:space="preserve"> - </w:instrText>
      </w:r>
      <w:proofErr w:type="spellStart"/>
      <w:r w:rsidRPr="00CB3E43">
        <w:rPr>
          <w:i/>
        </w:rPr>
        <w:instrText>Rapporteur</w:instrText>
      </w:r>
      <w:proofErr w:type="spellEnd"/>
      <w:r w:rsidRPr="00CB3E43">
        <w:rPr>
          <w:i/>
        </w:rPr>
        <w:instrText xml:space="preserve">: Laura </w:instrText>
      </w:r>
      <w:proofErr w:type="spellStart"/>
      <w:r w:rsidRPr="00CB3E43">
        <w:rPr>
          <w:i/>
        </w:rPr>
        <w:instrText>Ballarín</w:instrText>
      </w:r>
      <w:proofErr w:type="spellEnd"/>
      <w:r w:rsidRPr="00CB3E43">
        <w:rPr>
          <w:i/>
        </w:rPr>
        <w:instrText xml:space="preserve"> </w:instrText>
      </w:r>
      <w:proofErr w:type="spellStart"/>
      <w:r w:rsidRPr="00CB3E43">
        <w:rPr>
          <w:i/>
        </w:rPr>
        <w:instrText>Cereza</w:instrText>
      </w:r>
      <w:proofErr w:type="spellEnd"/>
      <w:r w:rsidRPr="00CB3E43">
        <w:rPr>
          <w:i/>
        </w:rPr>
        <w:instrText xml:space="preserve">)"\l3 \n&gt; \* MERGEFORMAT </w:instrText>
      </w:r>
      <w:r w:rsidRPr="00CB3E43">
        <w:rPr>
          <w:i/>
        </w:rPr>
        <w:fldChar w:fldCharType="end"/>
      </w:r>
    </w:p>
    <w:p w:rsidR="008612C4" w:rsidRPr="00CB3E43" w:rsidRDefault="008612C4" w:rsidP="008612C4">
      <w:pPr>
        <w:rPr>
          <w:vanish/>
        </w:rPr>
      </w:pPr>
      <w:bookmarkStart w:id="2" w:name="Commission"/>
      <w:r w:rsidRPr="00CB3E43">
        <w:rPr>
          <w:vanish/>
        </w:rPr>
        <w:t>Kumitat għas-Suq Intern u l-Ħarsien tal-Konsumatur</w:t>
      </w:r>
      <w:bookmarkEnd w:id="2"/>
    </w:p>
    <w:p w:rsidR="008612C4" w:rsidRPr="00CB3E43" w:rsidRDefault="008612C4" w:rsidP="008612C4">
      <w:pPr>
        <w:rPr>
          <w:vanish/>
        </w:rPr>
      </w:pPr>
      <w:bookmarkStart w:id="3" w:name="PE"/>
      <w:r w:rsidRPr="00CB3E43">
        <w:rPr>
          <w:vanish/>
        </w:rPr>
        <w:t>PE766.590</w:t>
      </w:r>
      <w:bookmarkEnd w:id="3"/>
    </w:p>
    <w:p w:rsidR="008612C4" w:rsidRPr="00CB3E43" w:rsidRDefault="008612C4" w:rsidP="008612C4">
      <w:pPr>
        <w:pStyle w:val="ATHeading3"/>
      </w:pPr>
      <w:bookmarkStart w:id="4" w:name="Sujet"/>
      <w:r w:rsidRPr="00CB3E43">
        <w:t xml:space="preserve">Riżoluzzjoni </w:t>
      </w:r>
      <w:proofErr w:type="spellStart"/>
      <w:r w:rsidRPr="00CB3E43">
        <w:t>leġiżlattiva</w:t>
      </w:r>
      <w:proofErr w:type="spellEnd"/>
      <w:r w:rsidRPr="00CB3E43">
        <w:t xml:space="preserve"> </w:t>
      </w:r>
      <w:r w:rsidR="00120CAA">
        <w:t>tal-Parlament Ewropew tas-17</w:t>
      </w:r>
      <w:r w:rsidRPr="00CB3E43">
        <w:t xml:space="preserve"> ta' Diċembru 2024 dwar il-pożizzjoni tal-Kunsill fl-ewwel qari għall-adozzjoni ta’ regolament tal-Parlament Ewropew u tal-Kunsill li jħassar ir-Regolament (UE) Nru 524/2013, u li jemenda r-Regolamenti (UE) 2017/2394 u (UE) 2018/1724 fir-rigward tal-waqfien tal-Pjattaforma Ewropea għas-Soluzzjoni Online għat-Tilwim</w:t>
      </w:r>
      <w:bookmarkEnd w:id="4"/>
      <w:r w:rsidRPr="00CB3E43">
        <w:t xml:space="preserve"> </w:t>
      </w:r>
      <w:bookmarkStart w:id="5" w:name="References"/>
      <w:r w:rsidRPr="00CB3E43">
        <w:t>(14152/1/2024 – C10-0199/2024 – 2023/0375(COD))</w:t>
      </w:r>
      <w:bookmarkEnd w:id="5"/>
    </w:p>
    <w:p w:rsidR="008612C4" w:rsidRPr="00CB3E43" w:rsidRDefault="008612C4" w:rsidP="008612C4"/>
    <w:p w:rsidR="002D0C9D" w:rsidRPr="00CB3E43" w:rsidRDefault="002D0C9D" w:rsidP="002D0C9D">
      <w:pPr>
        <w:pStyle w:val="NormalBold"/>
      </w:pPr>
      <w:bookmarkStart w:id="6" w:name="TextBodyBegin"/>
      <w:bookmarkEnd w:id="6"/>
      <w:r w:rsidRPr="00CB3E43">
        <w:t xml:space="preserve">(Proċedura </w:t>
      </w:r>
      <w:proofErr w:type="spellStart"/>
      <w:r w:rsidRPr="00CB3E43">
        <w:t>leġiżlattiva</w:t>
      </w:r>
      <w:proofErr w:type="spellEnd"/>
      <w:r w:rsidRPr="00CB3E43">
        <w:t xml:space="preserve"> ordinarja: it-tieni qari)</w:t>
      </w:r>
    </w:p>
    <w:p w:rsidR="002D0C9D" w:rsidRPr="00CB3E43" w:rsidRDefault="002D0C9D" w:rsidP="002D0C9D">
      <w:pPr>
        <w:pStyle w:val="EPComma"/>
      </w:pPr>
      <w:r w:rsidRPr="00CB3E43">
        <w:rPr>
          <w:i/>
        </w:rPr>
        <w:t>Il-Parlament Ewropew</w:t>
      </w:r>
      <w:r w:rsidRPr="00CB3E43">
        <w:t>,</w:t>
      </w:r>
    </w:p>
    <w:p w:rsidR="002D0C9D" w:rsidRPr="00CB3E43" w:rsidRDefault="002D0C9D" w:rsidP="002D0C9D">
      <w:pPr>
        <w:pStyle w:val="NormalHanging12a"/>
      </w:pPr>
      <w:r w:rsidRPr="00CB3E43">
        <w:t>–</w:t>
      </w:r>
      <w:r w:rsidRPr="00CB3E43">
        <w:tab/>
        <w:t xml:space="preserve">wara li </w:t>
      </w:r>
      <w:proofErr w:type="spellStart"/>
      <w:r w:rsidRPr="00CB3E43">
        <w:t>kkunsidra</w:t>
      </w:r>
      <w:proofErr w:type="spellEnd"/>
      <w:r w:rsidRPr="00CB3E43">
        <w:t xml:space="preserve"> l-pożizzjoni tal-Kunsill fl-ewwel qari (14152/1/2024 – C10</w:t>
      </w:r>
      <w:r w:rsidRPr="00CB3E43">
        <w:noBreakHyphen/>
        <w:t>0199/2024),</w:t>
      </w:r>
    </w:p>
    <w:p w:rsidR="002D0C9D" w:rsidRPr="00CB3E43" w:rsidRDefault="002D0C9D" w:rsidP="002D0C9D">
      <w:pPr>
        <w:pStyle w:val="NormalHanging12a"/>
      </w:pPr>
      <w:r w:rsidRPr="00CB3E43">
        <w:t>–</w:t>
      </w:r>
      <w:r w:rsidRPr="00CB3E43">
        <w:tab/>
        <w:t xml:space="preserve">wara li </w:t>
      </w:r>
      <w:proofErr w:type="spellStart"/>
      <w:r w:rsidRPr="00CB3E43">
        <w:t>kkunsidra</w:t>
      </w:r>
      <w:proofErr w:type="spellEnd"/>
      <w:r w:rsidRPr="00CB3E43">
        <w:t xml:space="preserve"> l-opinjoni tal-Kumitat Ekonomiku u Soċjali Ewropew tal-14 ta’ Frar 2024</w:t>
      </w:r>
      <w:r w:rsidRPr="00CB3E43">
        <w:rPr>
          <w:vertAlign w:val="superscript"/>
        </w:rPr>
        <w:footnoteReference w:id="1"/>
      </w:r>
      <w:r w:rsidRPr="00CB3E43">
        <w:t>,</w:t>
      </w:r>
    </w:p>
    <w:p w:rsidR="002D0C9D" w:rsidRPr="00CB3E43" w:rsidRDefault="002D0C9D" w:rsidP="002D0C9D">
      <w:pPr>
        <w:pStyle w:val="NormalHanging12a"/>
      </w:pPr>
      <w:r w:rsidRPr="00CB3E43">
        <w:t>–</w:t>
      </w:r>
      <w:r w:rsidRPr="00CB3E43">
        <w:tab/>
        <w:t xml:space="preserve">wara li </w:t>
      </w:r>
      <w:proofErr w:type="spellStart"/>
      <w:r w:rsidRPr="00CB3E43">
        <w:t>kkunsidra</w:t>
      </w:r>
      <w:proofErr w:type="spellEnd"/>
      <w:r w:rsidRPr="00CB3E43">
        <w:t xml:space="preserve"> l-pożizzjoni tiegħu fl-ewwel qari</w:t>
      </w:r>
      <w:r w:rsidRPr="00CB3E43">
        <w:rPr>
          <w:vertAlign w:val="superscript"/>
        </w:rPr>
        <w:footnoteReference w:id="2"/>
      </w:r>
      <w:r w:rsidRPr="00CB3E43">
        <w:t xml:space="preserve"> dwar il-proposta tal-Kummissjoni lill-Parlament u lill-Kunsill (COM(2023)0647),</w:t>
      </w:r>
    </w:p>
    <w:p w:rsidR="002D0C9D" w:rsidRPr="00CB3E43" w:rsidRDefault="002D0C9D" w:rsidP="002D0C9D">
      <w:pPr>
        <w:pStyle w:val="NormalHanging12a"/>
      </w:pPr>
      <w:r w:rsidRPr="00CB3E43">
        <w:t>–</w:t>
      </w:r>
      <w:r w:rsidRPr="00CB3E43">
        <w:tab/>
        <w:t xml:space="preserve">wara li </w:t>
      </w:r>
      <w:proofErr w:type="spellStart"/>
      <w:r w:rsidRPr="00CB3E43">
        <w:t>kkunsidra</w:t>
      </w:r>
      <w:proofErr w:type="spellEnd"/>
      <w:r w:rsidRPr="00CB3E43">
        <w:t xml:space="preserve"> l-Artikolu 294(7) tat-Trattat dwar il-Funzjonament tal-Unjoni Ewropea,</w:t>
      </w:r>
    </w:p>
    <w:p w:rsidR="002D0C9D" w:rsidRPr="00CB3E43" w:rsidRDefault="002D0C9D" w:rsidP="002D0C9D">
      <w:pPr>
        <w:pStyle w:val="NormalHanging12a"/>
      </w:pPr>
      <w:r w:rsidRPr="00CB3E43">
        <w:t>–</w:t>
      </w:r>
      <w:r w:rsidRPr="00CB3E43">
        <w:tab/>
        <w:t xml:space="preserve">wara li </w:t>
      </w:r>
      <w:proofErr w:type="spellStart"/>
      <w:r w:rsidRPr="00CB3E43">
        <w:t>kkunsidra</w:t>
      </w:r>
      <w:proofErr w:type="spellEnd"/>
      <w:r w:rsidRPr="00CB3E43">
        <w:t xml:space="preserve"> l-Artikolu 68 tar-Regoli ta’ Proċedura tiegħu,</w:t>
      </w:r>
    </w:p>
    <w:p w:rsidR="002D0C9D" w:rsidRPr="00CB3E43" w:rsidRDefault="002D0C9D" w:rsidP="002D0C9D">
      <w:pPr>
        <w:pStyle w:val="NormalHanging12a"/>
      </w:pPr>
      <w:r w:rsidRPr="00CB3E43">
        <w:t>–</w:t>
      </w:r>
      <w:r w:rsidRPr="00CB3E43">
        <w:tab/>
        <w:t xml:space="preserve">wara li </w:t>
      </w:r>
      <w:proofErr w:type="spellStart"/>
      <w:r w:rsidRPr="00CB3E43">
        <w:t>kkunsidra</w:t>
      </w:r>
      <w:proofErr w:type="spellEnd"/>
      <w:r w:rsidRPr="00CB3E43">
        <w:t xml:space="preserve"> r-rakkomandazzjoni għat-tieni qari tal-Kumitat għas-Suq Intern u l-Ħarsien tal-Konsumatur (A10-0028/2024),</w:t>
      </w:r>
    </w:p>
    <w:p w:rsidR="002D0C9D" w:rsidRPr="00CB3E43" w:rsidRDefault="002D0C9D" w:rsidP="002D0C9D">
      <w:pPr>
        <w:pStyle w:val="NormalHanging12a"/>
      </w:pPr>
      <w:r w:rsidRPr="00CB3E43">
        <w:t>1.</w:t>
      </w:r>
      <w:r w:rsidRPr="00CB3E43">
        <w:tab/>
        <w:t>Japprova l-pożizzjoni tal-Kunsill fl-ewwel qari;</w:t>
      </w:r>
    </w:p>
    <w:p w:rsidR="002D0C9D" w:rsidRPr="00CB3E43" w:rsidRDefault="002D0C9D" w:rsidP="002D0C9D">
      <w:pPr>
        <w:pStyle w:val="NormalHanging12a"/>
      </w:pPr>
      <w:r w:rsidRPr="00CB3E43">
        <w:lastRenderedPageBreak/>
        <w:t>2.</w:t>
      </w:r>
      <w:r w:rsidRPr="00CB3E43">
        <w:tab/>
        <w:t>Jinnota li l-att qed jiġi adottat f’</w:t>
      </w:r>
      <w:proofErr w:type="spellStart"/>
      <w:r w:rsidRPr="00CB3E43">
        <w:t>konformità</w:t>
      </w:r>
      <w:proofErr w:type="spellEnd"/>
      <w:r w:rsidRPr="00CB3E43">
        <w:t xml:space="preserve"> mal-pożizzjoni tal-Kunsill;</w:t>
      </w:r>
    </w:p>
    <w:p w:rsidR="002D0C9D" w:rsidRPr="00CB3E43" w:rsidRDefault="002D0C9D" w:rsidP="002D0C9D">
      <w:pPr>
        <w:pStyle w:val="NormalHanging12a"/>
      </w:pPr>
      <w:r w:rsidRPr="00CB3E43">
        <w:t>3.</w:t>
      </w:r>
      <w:r w:rsidRPr="00CB3E43">
        <w:tab/>
        <w:t>Jagħti istruzzjonijiet lill-President tiegħu biex tiffirma l-att, flimkien mal-President tal-Kunsill, f’</w:t>
      </w:r>
      <w:proofErr w:type="spellStart"/>
      <w:r w:rsidRPr="00CB3E43">
        <w:t>konformità</w:t>
      </w:r>
      <w:proofErr w:type="spellEnd"/>
      <w:r w:rsidRPr="00CB3E43">
        <w:t xml:space="preserve"> mal-Artikolu 297(1) tat-Trattat dwar il-Funzjonament tal-Unjoni Ewropea;</w:t>
      </w:r>
    </w:p>
    <w:p w:rsidR="002D0C9D" w:rsidRPr="00CB3E43" w:rsidRDefault="002D0C9D" w:rsidP="002D0C9D">
      <w:pPr>
        <w:pStyle w:val="NormalHanging12a"/>
      </w:pPr>
      <w:r w:rsidRPr="00CB3E43">
        <w:t>4.</w:t>
      </w:r>
      <w:r w:rsidRPr="00CB3E43">
        <w:tab/>
        <w:t>Jagħti istruzzjonijiet lis-Segretarju Ġenerali tiegħu biex jiffirma l-att, wara li jkun ġie vverifikat li l-proċeduri kollha ntemmu kif imiss, u biex, bi qbil mas-Segretarju Ġenerali tal-Kunsill, jipproċedi għall-pubblikazzjoni tal-att f’</w:t>
      </w:r>
      <w:r w:rsidRPr="00CB3E43">
        <w:rPr>
          <w:i/>
        </w:rPr>
        <w:t>Il-Ġurnal Uffiċjali tal-Unjoni Ewropea</w:t>
      </w:r>
      <w:r w:rsidRPr="00CB3E43">
        <w:t>;</w:t>
      </w:r>
    </w:p>
    <w:p w:rsidR="00CB3E43" w:rsidRPr="00CB3E43" w:rsidRDefault="002D0C9D" w:rsidP="00CB3E43">
      <w:pPr>
        <w:pStyle w:val="NormalHanging12a"/>
      </w:pPr>
      <w:r w:rsidRPr="00CB3E43">
        <w:t>5.</w:t>
      </w:r>
      <w:r w:rsidRPr="00CB3E43">
        <w:tab/>
        <w:t>Jagħti istruzzjonijiet lill-President tiegħu biex tgħaddi l-pożizzjoni tal-Parlament lill-Kunsill u lill-Kummissjoni kif ukoll lill-parlamenti nazzjonali.</w:t>
      </w:r>
      <w:bookmarkStart w:id="7" w:name="_GoBack"/>
      <w:bookmarkEnd w:id="7"/>
    </w:p>
    <w:p w:rsidR="00E365E1" w:rsidRPr="00CB3E43" w:rsidRDefault="00E365E1" w:rsidP="008612C4"/>
    <w:sectPr w:rsidR="00E365E1" w:rsidRPr="00CB3E43" w:rsidSect="00CB3E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2C4" w:rsidRPr="00CB3E43" w:rsidRDefault="008612C4">
      <w:r w:rsidRPr="00CB3E43">
        <w:separator/>
      </w:r>
    </w:p>
  </w:endnote>
  <w:endnote w:type="continuationSeparator" w:id="0">
    <w:p w:rsidR="008612C4" w:rsidRPr="00CB3E43" w:rsidRDefault="008612C4">
      <w:r w:rsidRPr="00CB3E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B3E4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B3E4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B3E4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2C4" w:rsidRPr="00CB3E43" w:rsidRDefault="008612C4">
      <w:r w:rsidRPr="00CB3E43">
        <w:separator/>
      </w:r>
    </w:p>
  </w:footnote>
  <w:footnote w:type="continuationSeparator" w:id="0">
    <w:p w:rsidR="008612C4" w:rsidRPr="00CB3E43" w:rsidRDefault="008612C4">
      <w:r w:rsidRPr="00CB3E43">
        <w:continuationSeparator/>
      </w:r>
    </w:p>
  </w:footnote>
  <w:footnote w:id="1">
    <w:p w:rsidR="002D0C9D" w:rsidRPr="00CB3E43" w:rsidRDefault="002D0C9D" w:rsidP="00CB3E43">
      <w:pPr>
        <w:pStyle w:val="FootnoteText"/>
        <w:ind w:left="567" w:hanging="567"/>
        <w:rPr>
          <w:sz w:val="24"/>
          <w:lang w:val="mt-MT"/>
        </w:rPr>
      </w:pPr>
      <w:r w:rsidRPr="00CB3E43">
        <w:rPr>
          <w:rStyle w:val="FootnoteReference"/>
          <w:sz w:val="24"/>
          <w:lang w:val="mt-MT"/>
        </w:rPr>
        <w:footnoteRef/>
      </w:r>
      <w:r w:rsidR="00CB3E43" w:rsidRPr="00CB3E43">
        <w:rPr>
          <w:sz w:val="24"/>
          <w:lang w:val="mt-MT"/>
        </w:rPr>
        <w:t xml:space="preserve"> </w:t>
      </w:r>
      <w:r w:rsidR="00CB3E43" w:rsidRPr="00CB3E43">
        <w:rPr>
          <w:sz w:val="24"/>
          <w:lang w:val="mt-MT"/>
        </w:rPr>
        <w:tab/>
      </w:r>
      <w:r w:rsidRPr="00CB3E43">
        <w:rPr>
          <w:sz w:val="24"/>
          <w:lang w:val="mt-MT"/>
        </w:rPr>
        <w:t>ĠU C, C/2024/2482, 23.4.2024, ELI: </w:t>
      </w:r>
      <w:hyperlink r:id="rId1" w:tgtFrame="_blank" w:tooltip="Jagħti aċċess lil dan id-dokument permezz tal-URI tal-ELI tiegħu." w:history="1">
        <w:r w:rsidRPr="00CB3E43">
          <w:rPr>
            <w:rStyle w:val="Hyperlink"/>
            <w:sz w:val="24"/>
            <w:lang w:val="mt-MT"/>
          </w:rPr>
          <w:t>http://data.europa.eu/eli/C/2024/2482/oj</w:t>
        </w:r>
      </w:hyperlink>
      <w:r w:rsidRPr="00CB3E43">
        <w:rPr>
          <w:sz w:val="24"/>
          <w:lang w:val="mt-MT"/>
        </w:rPr>
        <w:t>.</w:t>
      </w:r>
    </w:p>
  </w:footnote>
  <w:footnote w:id="2">
    <w:p w:rsidR="002D0C9D" w:rsidRPr="00CB3E43" w:rsidRDefault="002D0C9D" w:rsidP="00CB3E43">
      <w:pPr>
        <w:pStyle w:val="FootnoteText"/>
        <w:ind w:left="567" w:hanging="567"/>
        <w:rPr>
          <w:sz w:val="24"/>
          <w:lang w:val="mt-MT"/>
        </w:rPr>
      </w:pPr>
      <w:r w:rsidRPr="00CB3E43">
        <w:rPr>
          <w:rStyle w:val="FootnoteReference"/>
          <w:sz w:val="24"/>
          <w:lang w:val="mt-MT"/>
        </w:rPr>
        <w:footnoteRef/>
      </w:r>
      <w:r w:rsidR="00CB3E43" w:rsidRPr="00CB3E43">
        <w:rPr>
          <w:sz w:val="24"/>
          <w:lang w:val="mt-MT"/>
        </w:rPr>
        <w:t xml:space="preserve"> </w:t>
      </w:r>
      <w:r w:rsidR="00CB3E43" w:rsidRPr="00CB3E43">
        <w:rPr>
          <w:sz w:val="24"/>
          <w:lang w:val="mt-MT"/>
        </w:rPr>
        <w:tab/>
      </w:r>
      <w:r w:rsidRPr="00CB3E43">
        <w:rPr>
          <w:sz w:val="24"/>
          <w:lang w:val="mt-MT"/>
        </w:rPr>
        <w:t>Testi adottati, 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B3E4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B3E4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B3E4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MT"/>
    <w:docVar w:name="dvnumam" w:val="0"/>
    <w:docVar w:name="dvpe" w:val="766.590"/>
    <w:docVar w:name="dvrapporteur" w:val="Rapporteur: "/>
    <w:docVar w:name="dvstar" w:val="***II"/>
    <w:docVar w:name="dvtitre" w:val="Riżoluzzjoni leġiżlattiva tal-Parlament Ewropew tal-xx ta' Diċembru 2024 dwar il-pożizzjoni tal-Kunsill fl-ewwel qari għall-adozzjoni ta’ regolament tal-Parlament Ewropew u tal-Kunsill li jħassar ir-Regolament (UE) Nru 524/2013, u li jemenda r-Regolamenti (UE) 2017/2394 u (UE) 2018/1724 fir-rigward tal-waqfien tal-Pjattaforma Ewropea għas-Soluzzjoni Online għat-Tilwim(14152/1/2024 – C10-0199/2024 – 2023/0375(COD))"/>
  </w:docVars>
  <w:rsids>
    <w:rsidRoot w:val="008612C4"/>
    <w:rsid w:val="00002272"/>
    <w:rsid w:val="00064002"/>
    <w:rsid w:val="000677B9"/>
    <w:rsid w:val="000831BA"/>
    <w:rsid w:val="000A42CC"/>
    <w:rsid w:val="000E7DD9"/>
    <w:rsid w:val="0010095E"/>
    <w:rsid w:val="00120CAA"/>
    <w:rsid w:val="00125B37"/>
    <w:rsid w:val="00187494"/>
    <w:rsid w:val="001F32AE"/>
    <w:rsid w:val="002767FF"/>
    <w:rsid w:val="002B18FE"/>
    <w:rsid w:val="002B5493"/>
    <w:rsid w:val="002D0C9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12C4"/>
    <w:rsid w:val="00865F67"/>
    <w:rsid w:val="00881A7B"/>
    <w:rsid w:val="008840E5"/>
    <w:rsid w:val="00887B3E"/>
    <w:rsid w:val="008B491A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3E43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A55D6"/>
  <w15:chartTrackingRefBased/>
  <w15:docId w15:val="{8BE51B81-1A9B-4FA7-9954-60F1E557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D0C9D"/>
    <w:pPr>
      <w:spacing w:before="480" w:after="240"/>
    </w:pPr>
  </w:style>
  <w:style w:type="paragraph" w:customStyle="1" w:styleId="NormalBold">
    <w:name w:val="NormalBold"/>
    <w:basedOn w:val="Normal"/>
    <w:rsid w:val="002D0C9D"/>
    <w:rPr>
      <w:b/>
    </w:rPr>
  </w:style>
  <w:style w:type="paragraph" w:customStyle="1" w:styleId="NormalHanging12a">
    <w:name w:val="NormalHanging12a"/>
    <w:basedOn w:val="Normal"/>
    <w:rsid w:val="002D0C9D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2D0C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6AE0-82DD-47B1-84A9-B4CAE189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ZAHRA Ritienne</dc:creator>
  <cp:keywords/>
  <cp:lastModifiedBy>ZAHRA Ritienne</cp:lastModifiedBy>
  <cp:revision>4</cp:revision>
  <cp:lastPrinted>2004-11-19T15:42:00Z</cp:lastPrinted>
  <dcterms:created xsi:type="dcterms:W3CDTF">2024-12-10T12:11:00Z</dcterms:created>
  <dcterms:modified xsi:type="dcterms:W3CDTF">2024-12-17T10:44:00Z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