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1414C" w14:paraId="3C60530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F65E24" w14:textId="77777777" w:rsidR="00751A4A" w:rsidRPr="00C1414C" w:rsidRDefault="009F2588" w:rsidP="0010095E">
            <w:pPr>
              <w:pStyle w:val="EPName"/>
            </w:pPr>
            <w:r w:rsidRPr="00C1414C">
              <w:t>Parlamentul European</w:t>
            </w:r>
          </w:p>
          <w:p w14:paraId="11863065" w14:textId="77777777" w:rsidR="00751A4A" w:rsidRPr="00C1414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1414C">
              <w:t>2024</w:t>
            </w:r>
            <w:r w:rsidR="00817416" w:rsidRPr="00C1414C">
              <w:t>-202</w:t>
            </w:r>
            <w:r w:rsidRPr="00C1414C">
              <w:t>9</w:t>
            </w:r>
          </w:p>
        </w:tc>
        <w:tc>
          <w:tcPr>
            <w:tcW w:w="2268" w:type="dxa"/>
            <w:shd w:val="clear" w:color="auto" w:fill="auto"/>
          </w:tcPr>
          <w:p w14:paraId="63FB57B3" w14:textId="77777777" w:rsidR="00751A4A" w:rsidRPr="00C1414C" w:rsidRDefault="00187494" w:rsidP="0010095E">
            <w:pPr>
              <w:pStyle w:val="EPLogo"/>
            </w:pPr>
            <w:r w:rsidRPr="00C1414C">
              <w:rPr>
                <w:noProof/>
                <w:lang w:eastAsia="ja-JP"/>
              </w:rPr>
              <w:drawing>
                <wp:inline distT="0" distB="0" distL="0" distR="0" wp14:anchorId="05D31613" wp14:editId="0E02781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5E2E0D" w14:textId="77777777" w:rsidR="00D058B8" w:rsidRPr="00C1414C" w:rsidRDefault="00D058B8" w:rsidP="004C5D52">
      <w:pPr>
        <w:pStyle w:val="LineTop"/>
      </w:pPr>
    </w:p>
    <w:p w14:paraId="761981E2" w14:textId="77777777" w:rsidR="00680577" w:rsidRPr="00C1414C" w:rsidRDefault="009F2588" w:rsidP="00680577">
      <w:pPr>
        <w:pStyle w:val="EPBodyTA1"/>
      </w:pPr>
      <w:r w:rsidRPr="00C1414C">
        <w:t>TEXTE ADOPTATE</w:t>
      </w:r>
    </w:p>
    <w:p w14:paraId="4B98C126" w14:textId="77777777" w:rsidR="00D058B8" w:rsidRPr="00C1414C" w:rsidRDefault="00D058B8" w:rsidP="00D058B8">
      <w:pPr>
        <w:pStyle w:val="LineBottom"/>
      </w:pPr>
    </w:p>
    <w:p w14:paraId="3E36A6FF" w14:textId="4C97A4DC" w:rsidR="009F2588" w:rsidRPr="00C1414C" w:rsidRDefault="009F2588" w:rsidP="009F2588">
      <w:pPr>
        <w:pStyle w:val="ATHeading1"/>
      </w:pPr>
      <w:bookmarkStart w:id="0" w:name="TANumber"/>
      <w:r w:rsidRPr="00C1414C">
        <w:t>P10_TA(2025)0</w:t>
      </w:r>
      <w:bookmarkEnd w:id="0"/>
      <w:r w:rsidR="00C1414C" w:rsidRPr="00C1414C">
        <w:t>318</w:t>
      </w:r>
    </w:p>
    <w:p w14:paraId="51B15675" w14:textId="77777777" w:rsidR="009F2588" w:rsidRPr="00C1414C" w:rsidRDefault="009F2588" w:rsidP="009F2588">
      <w:pPr>
        <w:pStyle w:val="ATHeading2"/>
      </w:pPr>
      <w:bookmarkStart w:id="1" w:name="title"/>
      <w:r w:rsidRPr="00C1414C">
        <w:t>Modificarea Directivei privind soluționarea alternativă a litigiilor în materie de consum</w:t>
      </w:r>
      <w:bookmarkEnd w:id="1"/>
    </w:p>
    <w:p w14:paraId="1B4EADD5" w14:textId="77777777" w:rsidR="009F2588" w:rsidRPr="00C1414C" w:rsidRDefault="009F2588" w:rsidP="009F2588">
      <w:pPr>
        <w:rPr>
          <w:i/>
          <w:vanish/>
        </w:rPr>
      </w:pPr>
      <w:r w:rsidRPr="00C1414C">
        <w:rPr>
          <w:i/>
        </w:rPr>
        <w:fldChar w:fldCharType="begin"/>
      </w:r>
      <w:r w:rsidRPr="00C1414C">
        <w:rPr>
          <w:i/>
        </w:rPr>
        <w:instrText xml:space="preserve"> TC"(</w:instrText>
      </w:r>
      <w:bookmarkStart w:id="2" w:name="DocNumber"/>
      <w:r w:rsidRPr="00C1414C">
        <w:rPr>
          <w:i/>
        </w:rPr>
        <w:instrText>A10-0249/2025</w:instrText>
      </w:r>
      <w:bookmarkEnd w:id="2"/>
      <w:r w:rsidRPr="00C1414C">
        <w:rPr>
          <w:i/>
        </w:rPr>
        <w:instrText xml:space="preserve"> - Raportoare: Laura </w:instrText>
      </w:r>
      <w:proofErr w:type="spellStart"/>
      <w:r w:rsidRPr="00C1414C">
        <w:rPr>
          <w:i/>
        </w:rPr>
        <w:instrText>Ballarín</w:instrText>
      </w:r>
      <w:proofErr w:type="spellEnd"/>
      <w:r w:rsidRPr="00C1414C">
        <w:rPr>
          <w:i/>
        </w:rPr>
        <w:instrText xml:space="preserve"> </w:instrText>
      </w:r>
      <w:proofErr w:type="spellStart"/>
      <w:r w:rsidRPr="00C1414C">
        <w:rPr>
          <w:i/>
        </w:rPr>
        <w:instrText>Cereza</w:instrText>
      </w:r>
      <w:proofErr w:type="spellEnd"/>
      <w:r w:rsidRPr="00C1414C">
        <w:rPr>
          <w:i/>
        </w:rPr>
        <w:instrText xml:space="preserve">)"\l3 \n&gt; \* MERGEFORMAT </w:instrText>
      </w:r>
      <w:r w:rsidRPr="00C1414C">
        <w:rPr>
          <w:i/>
        </w:rPr>
        <w:fldChar w:fldCharType="end"/>
      </w:r>
    </w:p>
    <w:p w14:paraId="346F8A5D" w14:textId="77777777" w:rsidR="009F2588" w:rsidRPr="00C1414C" w:rsidRDefault="009F2588" w:rsidP="009F2588">
      <w:pPr>
        <w:rPr>
          <w:vanish/>
        </w:rPr>
      </w:pPr>
      <w:bookmarkStart w:id="3" w:name="Commission"/>
      <w:r w:rsidRPr="00C1414C">
        <w:rPr>
          <w:vanish/>
        </w:rPr>
        <w:t>Comisia pentru piața internă și protecția consumatorilor</w:t>
      </w:r>
      <w:bookmarkEnd w:id="3"/>
    </w:p>
    <w:p w14:paraId="361BDE4A" w14:textId="77777777" w:rsidR="009F2588" w:rsidRPr="00C1414C" w:rsidRDefault="009F2588" w:rsidP="009F2588">
      <w:pPr>
        <w:rPr>
          <w:vanish/>
        </w:rPr>
      </w:pPr>
      <w:bookmarkStart w:id="4" w:name="PE"/>
      <w:r w:rsidRPr="00C1414C">
        <w:rPr>
          <w:vanish/>
        </w:rPr>
        <w:t>PE781.128</w:t>
      </w:r>
      <w:bookmarkEnd w:id="4"/>
    </w:p>
    <w:p w14:paraId="662B81D1" w14:textId="3DDE5A25" w:rsidR="009F2588" w:rsidRPr="00C1414C" w:rsidRDefault="009F2588" w:rsidP="009F2588">
      <w:pPr>
        <w:pStyle w:val="ATHeading3"/>
      </w:pPr>
      <w:bookmarkStart w:id="5" w:name="Sujet"/>
      <w:r w:rsidRPr="00C1414C">
        <w:t xml:space="preserve">Rezoluția legislativă a Parlamentului European din 16 decembrie 2025 referitoare la poziția în primă lectură a Consiliului în vederea adoptării </w:t>
      </w:r>
      <w:r w:rsidR="009F68CB" w:rsidRPr="00C1414C">
        <w:t>D</w:t>
      </w:r>
      <w:r w:rsidRPr="00C1414C">
        <w:t xml:space="preserve">irectivei </w:t>
      </w:r>
      <w:r w:rsidR="009F68CB" w:rsidRPr="00C1414C">
        <w:t>P</w:t>
      </w:r>
      <w:r w:rsidRPr="00C1414C">
        <w:t>arlamentului European și a Consiliului de modificare a Directivei 2013/11/UE privind soluționarea alternativă a litigiilor în materie de consum, precum și a Directivelor (UE) 2015/2302, (UE) 2019/2161 și (UE) 2020/1828 ca urmare a desființării Platformei europene de soluționare online a litigiilor</w:t>
      </w:r>
      <w:bookmarkEnd w:id="5"/>
      <w:r w:rsidRPr="00C1414C">
        <w:t xml:space="preserve"> </w:t>
      </w:r>
      <w:bookmarkStart w:id="6" w:name="References"/>
      <w:r w:rsidRPr="00C1414C">
        <w:t>(11778/1/2025 – C10-0309/2025 – 2023/0376(COD))</w:t>
      </w:r>
      <w:bookmarkEnd w:id="6"/>
    </w:p>
    <w:p w14:paraId="2E200CF6" w14:textId="77777777" w:rsidR="009F2588" w:rsidRPr="00C1414C" w:rsidRDefault="009F2588" w:rsidP="009F2588"/>
    <w:p w14:paraId="53719E38" w14:textId="77777777" w:rsidR="00D62A13" w:rsidRPr="00C1414C" w:rsidRDefault="00D62A13" w:rsidP="00D62A13">
      <w:pPr>
        <w:pStyle w:val="NormalBold"/>
      </w:pPr>
      <w:bookmarkStart w:id="7" w:name="TextBodyBegin"/>
      <w:bookmarkEnd w:id="7"/>
      <w:r w:rsidRPr="00C1414C">
        <w:t>(Procedura legislativă ordinară: a doua lectură)</w:t>
      </w:r>
    </w:p>
    <w:p w14:paraId="48CFB378" w14:textId="77777777" w:rsidR="00D62A13" w:rsidRPr="00C1414C" w:rsidRDefault="00D62A13" w:rsidP="00D62A13">
      <w:pPr>
        <w:pStyle w:val="EPComma"/>
      </w:pPr>
      <w:r w:rsidRPr="00C1414C">
        <w:rPr>
          <w:i/>
          <w:iCs/>
        </w:rPr>
        <w:t>Parlamentul European</w:t>
      </w:r>
      <w:r w:rsidRPr="00C1414C">
        <w:t>,</w:t>
      </w:r>
    </w:p>
    <w:p w14:paraId="6324E1D3" w14:textId="77777777" w:rsidR="00D62A13" w:rsidRPr="00C1414C" w:rsidRDefault="00D62A13" w:rsidP="00D62A13">
      <w:pPr>
        <w:pStyle w:val="NormalHanging12a"/>
      </w:pPr>
      <w:r w:rsidRPr="00C1414C">
        <w:t>–</w:t>
      </w:r>
      <w:r w:rsidRPr="00C1414C">
        <w:tab/>
        <w:t>având în vedere poziția în primă lectură a Consiliului (11778/1/2025 – C10</w:t>
      </w:r>
      <w:r w:rsidRPr="00C1414C">
        <w:noBreakHyphen/>
        <w:t>0309/2025),</w:t>
      </w:r>
    </w:p>
    <w:p w14:paraId="18F856B0" w14:textId="77777777" w:rsidR="00D62A13" w:rsidRPr="00C1414C" w:rsidRDefault="00D62A13" w:rsidP="00D62A13">
      <w:pPr>
        <w:pStyle w:val="NormalHanging12a"/>
      </w:pPr>
      <w:r w:rsidRPr="00C1414C">
        <w:t>–</w:t>
      </w:r>
      <w:r w:rsidRPr="00C1414C">
        <w:tab/>
        <w:t>având în vedere avizul Comitetului Economic și Social European din 14 februarie 2024</w:t>
      </w:r>
      <w:r w:rsidRPr="00C1414C">
        <w:rPr>
          <w:rStyle w:val="FootnoteReference"/>
        </w:rPr>
        <w:footnoteReference w:id="1"/>
      </w:r>
      <w:r w:rsidRPr="00C1414C">
        <w:t>,</w:t>
      </w:r>
    </w:p>
    <w:p w14:paraId="0A225B28" w14:textId="77777777" w:rsidR="00D62A13" w:rsidRPr="00C1414C" w:rsidRDefault="00D62A13" w:rsidP="00D62A13">
      <w:pPr>
        <w:pStyle w:val="NormalHanging12a"/>
      </w:pPr>
      <w:r w:rsidRPr="00C1414C">
        <w:t>–</w:t>
      </w:r>
      <w:r w:rsidRPr="00C1414C">
        <w:tab/>
        <w:t>având în vedere poziția sa în primă lectură</w:t>
      </w:r>
      <w:r w:rsidRPr="00C1414C">
        <w:rPr>
          <w:rStyle w:val="FootnoteReference"/>
        </w:rPr>
        <w:footnoteReference w:id="2"/>
      </w:r>
      <w:r w:rsidRPr="00C1414C">
        <w:t xml:space="preserve"> referitoare la propunerea Comisiei prezentată Parlamentului European și Consiliului (COM(2023)0649),</w:t>
      </w:r>
    </w:p>
    <w:p w14:paraId="630FD05E" w14:textId="77777777" w:rsidR="00D62A13" w:rsidRPr="00C1414C" w:rsidRDefault="00D62A13" w:rsidP="00D62A13">
      <w:pPr>
        <w:pStyle w:val="NormalHanging12a"/>
      </w:pPr>
      <w:r w:rsidRPr="00C1414C">
        <w:t>–</w:t>
      </w:r>
      <w:r w:rsidRPr="00C1414C">
        <w:tab/>
        <w:t>având în vedere articolul 294 alineatul (7) din Tratatul privind funcționarea Uniunii Europene,</w:t>
      </w:r>
    </w:p>
    <w:p w14:paraId="70B980E2" w14:textId="77777777" w:rsidR="00D62A13" w:rsidRPr="00C1414C" w:rsidRDefault="00D62A13" w:rsidP="00D62A13">
      <w:pPr>
        <w:pStyle w:val="NormalHanging12a"/>
      </w:pPr>
      <w:r w:rsidRPr="00C1414C">
        <w:t>–</w:t>
      </w:r>
      <w:r w:rsidRPr="00C1414C">
        <w:tab/>
        <w:t>având în vedere acordul provizoriu aprobat de comisia competentă în temeiul articolului 75 alineatul (4) din Regulamentul său de procedură,</w:t>
      </w:r>
    </w:p>
    <w:p w14:paraId="17925D08" w14:textId="77777777" w:rsidR="00D62A13" w:rsidRPr="00C1414C" w:rsidRDefault="00D62A13" w:rsidP="00D62A13">
      <w:pPr>
        <w:pStyle w:val="NormalHanging12a"/>
      </w:pPr>
      <w:r w:rsidRPr="00C1414C">
        <w:t>–</w:t>
      </w:r>
      <w:r w:rsidRPr="00C1414C">
        <w:tab/>
        <w:t>având în vedere articolul 68 din Regulamentul său de procedură,</w:t>
      </w:r>
    </w:p>
    <w:p w14:paraId="6507CA5B" w14:textId="77777777" w:rsidR="00D62A13" w:rsidRPr="00C1414C" w:rsidRDefault="00D62A13" w:rsidP="00D62A13">
      <w:pPr>
        <w:pStyle w:val="NormalHanging12a"/>
      </w:pPr>
      <w:r w:rsidRPr="00C1414C">
        <w:t>–</w:t>
      </w:r>
      <w:r w:rsidRPr="00C1414C">
        <w:tab/>
        <w:t>având în vedere recomandarea pentru a doua lectură a Comisiei pentru piața internă și protecția consumatorilor (A10-0249/2025),</w:t>
      </w:r>
    </w:p>
    <w:p w14:paraId="76EAE5B7" w14:textId="77777777" w:rsidR="00D62A13" w:rsidRPr="00C1414C" w:rsidRDefault="00D62A13" w:rsidP="00D62A13">
      <w:pPr>
        <w:pStyle w:val="NormalHanging12a"/>
      </w:pPr>
      <w:r w:rsidRPr="00C1414C">
        <w:lastRenderedPageBreak/>
        <w:t>1.</w:t>
      </w:r>
      <w:r w:rsidRPr="00C1414C">
        <w:tab/>
        <w:t>aprobă poziția Consiliului în primă lectură;</w:t>
      </w:r>
    </w:p>
    <w:p w14:paraId="2C7B8376" w14:textId="77777777" w:rsidR="00D62A13" w:rsidRPr="00C1414C" w:rsidRDefault="00D62A13" w:rsidP="00D62A13">
      <w:pPr>
        <w:pStyle w:val="NormalHanging12a"/>
      </w:pPr>
      <w:r w:rsidRPr="00C1414C">
        <w:t>2.</w:t>
      </w:r>
      <w:r w:rsidRPr="00C1414C">
        <w:tab/>
        <w:t>constată că actul este adoptat în conformitate cu poziția Consiliului;</w:t>
      </w:r>
    </w:p>
    <w:p w14:paraId="196F0196" w14:textId="77777777" w:rsidR="00D62A13" w:rsidRPr="00C1414C" w:rsidRDefault="00D62A13" w:rsidP="00D62A13">
      <w:pPr>
        <w:pStyle w:val="NormalHanging12a"/>
      </w:pPr>
      <w:r w:rsidRPr="00C1414C">
        <w:t>3.</w:t>
      </w:r>
      <w:r w:rsidRPr="00C1414C">
        <w:tab/>
        <w:t>încredințează Președintei sarcina de a semna actul împreună cu Președintele Consiliului, în conformitate cu articolul 297 alineatul (1) din Tratatul privind funcționarea Uniunii Europene;</w:t>
      </w:r>
    </w:p>
    <w:p w14:paraId="529CA86A" w14:textId="77777777" w:rsidR="00D62A13" w:rsidRPr="00C1414C" w:rsidRDefault="00D62A13" w:rsidP="00D62A13">
      <w:pPr>
        <w:pStyle w:val="NormalHanging12a"/>
      </w:pPr>
      <w:r w:rsidRPr="00C1414C">
        <w:t>4.</w:t>
      </w:r>
      <w:r w:rsidRPr="00C1414C">
        <w:tab/>
        <w:t xml:space="preserve">încredințează Secretarului General sarcina de a semna actul, după ce s-a verificat îndeplinirea corespunzătoare a tuturor procedurilor, și de a asigura, de comun acord cu Secretarul General al Consiliului, publicarea sa în </w:t>
      </w:r>
      <w:r w:rsidRPr="00C1414C">
        <w:rPr>
          <w:i/>
          <w:iCs/>
        </w:rPr>
        <w:t>Jurnalul Oficial al Uniunii Europene</w:t>
      </w:r>
      <w:r w:rsidRPr="00C1414C">
        <w:t>;</w:t>
      </w:r>
    </w:p>
    <w:p w14:paraId="5EF5CAF0" w14:textId="77777777" w:rsidR="00D62A13" w:rsidRPr="00C1414C" w:rsidRDefault="00D62A13" w:rsidP="00D62A13">
      <w:pPr>
        <w:pStyle w:val="NormalHanging12a"/>
      </w:pPr>
      <w:r w:rsidRPr="00C1414C">
        <w:t>5.</w:t>
      </w:r>
      <w:r w:rsidRPr="00C1414C">
        <w:tab/>
        <w:t>încredințează Președintei sarcina de a transmite Consiliului și Comisiei, precum și parlamentelor naționale poziția Parlamentului.</w:t>
      </w:r>
    </w:p>
    <w:p w14:paraId="3EA2DCF4" w14:textId="77777777" w:rsidR="009C0764" w:rsidRPr="00C1414C" w:rsidRDefault="009C0764" w:rsidP="00D62A13">
      <w:pPr>
        <w:pStyle w:val="NormalHanging12a"/>
      </w:pPr>
    </w:p>
    <w:sectPr w:rsidR="009C0764" w:rsidRPr="00C1414C" w:rsidSect="00D311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3607" w14:textId="77777777" w:rsidR="009F2588" w:rsidRPr="00D311BC" w:rsidRDefault="009F2588">
      <w:r w:rsidRPr="00D311BC">
        <w:separator/>
      </w:r>
    </w:p>
  </w:endnote>
  <w:endnote w:type="continuationSeparator" w:id="0">
    <w:p w14:paraId="04939CC3" w14:textId="77777777" w:rsidR="009F2588" w:rsidRPr="00D311BC" w:rsidRDefault="009F2588">
      <w:r w:rsidRPr="00D311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B9C0" w14:textId="77777777" w:rsidR="00064002" w:rsidRPr="00D311B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E134" w14:textId="77777777" w:rsidR="00064002" w:rsidRPr="00D311B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69AC" w14:textId="77777777" w:rsidR="00064002" w:rsidRPr="00D311B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E2B6" w14:textId="77777777" w:rsidR="009F2588" w:rsidRPr="00D311BC" w:rsidRDefault="009F2588">
      <w:r w:rsidRPr="00D311BC">
        <w:separator/>
      </w:r>
    </w:p>
  </w:footnote>
  <w:footnote w:type="continuationSeparator" w:id="0">
    <w:p w14:paraId="596708DA" w14:textId="77777777" w:rsidR="009F2588" w:rsidRPr="00D311BC" w:rsidRDefault="009F2588">
      <w:r w:rsidRPr="00D311BC">
        <w:continuationSeparator/>
      </w:r>
    </w:p>
  </w:footnote>
  <w:footnote w:id="1">
    <w:p w14:paraId="1A12F56F" w14:textId="2B02BFFB" w:rsidR="00D62A13" w:rsidRPr="00D311BC" w:rsidRDefault="00D62A13" w:rsidP="00D311BC">
      <w:pPr>
        <w:pStyle w:val="FootnoteText"/>
        <w:ind w:left="567" w:hanging="567"/>
        <w:rPr>
          <w:sz w:val="24"/>
          <w:lang w:val="ro-RO"/>
        </w:rPr>
      </w:pPr>
      <w:r w:rsidRPr="00D311BC">
        <w:rPr>
          <w:rStyle w:val="FootnoteReference"/>
          <w:sz w:val="24"/>
          <w:lang w:val="ro-RO"/>
        </w:rPr>
        <w:footnoteRef/>
      </w:r>
      <w:r w:rsidR="00D311BC" w:rsidRPr="00D311BC">
        <w:rPr>
          <w:sz w:val="24"/>
          <w:lang w:val="ro-RO"/>
        </w:rPr>
        <w:t xml:space="preserve"> </w:t>
      </w:r>
      <w:r w:rsidR="00D311BC" w:rsidRPr="00D311BC">
        <w:rPr>
          <w:sz w:val="24"/>
          <w:lang w:val="ro-RO"/>
        </w:rPr>
        <w:tab/>
      </w:r>
      <w:r w:rsidRPr="00D311BC">
        <w:rPr>
          <w:sz w:val="24"/>
          <w:lang w:val="ro-RO"/>
        </w:rPr>
        <w:t>JO C, C/2024/2482, 23.4.2024, ELI:</w:t>
      </w:r>
      <w:r w:rsidR="004E3B6D">
        <w:rPr>
          <w:sz w:val="24"/>
          <w:lang w:val="ro-RO"/>
        </w:rPr>
        <w:t> </w:t>
      </w:r>
      <w:hyperlink r:id="rId1" w:history="1">
        <w:r w:rsidR="004E3B6D" w:rsidRPr="004E3B6D">
          <w:rPr>
            <w:rStyle w:val="Hyperlink"/>
            <w:sz w:val="24"/>
            <w:lang w:val="ro-RO"/>
          </w:rPr>
          <w:t>http://data.europa.eu/eli/C/2024/2482/oj</w:t>
        </w:r>
      </w:hyperlink>
      <w:r w:rsidR="009C0764">
        <w:rPr>
          <w:sz w:val="24"/>
          <w:lang w:val="ro-RO"/>
        </w:rPr>
        <w:t xml:space="preserve"> </w:t>
      </w:r>
      <w:r w:rsidRPr="00D311BC">
        <w:rPr>
          <w:sz w:val="24"/>
          <w:lang w:val="ro-RO"/>
        </w:rPr>
        <w:t>.</w:t>
      </w:r>
    </w:p>
  </w:footnote>
  <w:footnote w:id="2">
    <w:p w14:paraId="645E5899" w14:textId="238BCFC2" w:rsidR="00D62A13" w:rsidRPr="00D311BC" w:rsidRDefault="00D62A13" w:rsidP="00D311BC">
      <w:pPr>
        <w:pStyle w:val="FootnoteText"/>
        <w:ind w:left="567" w:hanging="567"/>
        <w:rPr>
          <w:sz w:val="24"/>
          <w:lang w:val="ro-RO"/>
        </w:rPr>
      </w:pPr>
      <w:r w:rsidRPr="00D311BC">
        <w:rPr>
          <w:rStyle w:val="FootnoteReference"/>
          <w:sz w:val="24"/>
          <w:lang w:val="ro-RO"/>
        </w:rPr>
        <w:footnoteRef/>
      </w:r>
      <w:r w:rsidR="00D311BC" w:rsidRPr="00D311BC">
        <w:rPr>
          <w:sz w:val="24"/>
          <w:lang w:val="ro-RO"/>
        </w:rPr>
        <w:t xml:space="preserve"> </w:t>
      </w:r>
      <w:r w:rsidR="00D311BC" w:rsidRPr="00D311BC">
        <w:rPr>
          <w:sz w:val="24"/>
          <w:lang w:val="ro-RO"/>
        </w:rPr>
        <w:tab/>
      </w:r>
      <w:r w:rsidRPr="00D311BC">
        <w:rPr>
          <w:sz w:val="24"/>
          <w:lang w:val="ro-RO"/>
        </w:rPr>
        <w:t>JO C, C/2025/1028, 27.2.2025, ELI:</w:t>
      </w:r>
      <w:r w:rsidR="004E3B6D">
        <w:rPr>
          <w:sz w:val="24"/>
          <w:lang w:val="ro-RO"/>
        </w:rPr>
        <w:t> </w:t>
      </w:r>
      <w:hyperlink r:id="rId2" w:history="1">
        <w:r w:rsidR="00221B6F" w:rsidRPr="00221B6F">
          <w:rPr>
            <w:rStyle w:val="Hyperlink"/>
            <w:sz w:val="24"/>
            <w:lang w:val="ro-RO"/>
          </w:rPr>
          <w:t>http://data.europa.eu/eli/C/2025/1028/oj</w:t>
        </w:r>
      </w:hyperlink>
      <w:r w:rsidR="009C0764">
        <w:rPr>
          <w:sz w:val="24"/>
          <w:lang w:val="ro-RO"/>
        </w:rPr>
        <w:t xml:space="preserve"> </w:t>
      </w:r>
      <w:r w:rsidRPr="00D311BC">
        <w:rPr>
          <w:sz w:val="24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29FF" w14:textId="77777777" w:rsidR="00064002" w:rsidRPr="00D311B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020D" w14:textId="77777777" w:rsidR="00064002" w:rsidRPr="00D311B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BF7A3" w14:textId="77777777" w:rsidR="00064002" w:rsidRPr="00D311B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33533279">
    <w:abstractNumId w:val="9"/>
  </w:num>
  <w:num w:numId="2" w16cid:durableId="1409620105">
    <w:abstractNumId w:val="9"/>
  </w:num>
  <w:num w:numId="3" w16cid:durableId="1620793218">
    <w:abstractNumId w:val="7"/>
  </w:num>
  <w:num w:numId="4" w16cid:durableId="1104502107">
    <w:abstractNumId w:val="7"/>
  </w:num>
  <w:num w:numId="5" w16cid:durableId="475152260">
    <w:abstractNumId w:val="6"/>
  </w:num>
  <w:num w:numId="6" w16cid:durableId="418991192">
    <w:abstractNumId w:val="6"/>
  </w:num>
  <w:num w:numId="7" w16cid:durableId="1476022926">
    <w:abstractNumId w:val="5"/>
  </w:num>
  <w:num w:numId="8" w16cid:durableId="1620449883">
    <w:abstractNumId w:val="5"/>
  </w:num>
  <w:num w:numId="9" w16cid:durableId="1179467519">
    <w:abstractNumId w:val="4"/>
  </w:num>
  <w:num w:numId="10" w16cid:durableId="829448938">
    <w:abstractNumId w:val="4"/>
  </w:num>
  <w:num w:numId="11" w16cid:durableId="1007445042">
    <w:abstractNumId w:val="8"/>
  </w:num>
  <w:num w:numId="12" w16cid:durableId="1335955100">
    <w:abstractNumId w:val="8"/>
  </w:num>
  <w:num w:numId="13" w16cid:durableId="1453090361">
    <w:abstractNumId w:val="3"/>
  </w:num>
  <w:num w:numId="14" w16cid:durableId="1312830735">
    <w:abstractNumId w:val="3"/>
  </w:num>
  <w:num w:numId="15" w16cid:durableId="1363435356">
    <w:abstractNumId w:val="2"/>
  </w:num>
  <w:num w:numId="16" w16cid:durableId="1238706047">
    <w:abstractNumId w:val="2"/>
  </w:num>
  <w:num w:numId="17" w16cid:durableId="509805703">
    <w:abstractNumId w:val="1"/>
  </w:num>
  <w:num w:numId="18" w16cid:durableId="322902485">
    <w:abstractNumId w:val="1"/>
  </w:num>
  <w:num w:numId="19" w16cid:durableId="401753364">
    <w:abstractNumId w:val="0"/>
  </w:num>
  <w:num w:numId="20" w16cid:durableId="627664407">
    <w:abstractNumId w:val="0"/>
  </w:num>
  <w:num w:numId="21" w16cid:durableId="782920268">
    <w:abstractNumId w:val="9"/>
  </w:num>
  <w:num w:numId="22" w16cid:durableId="1657100810">
    <w:abstractNumId w:val="7"/>
  </w:num>
  <w:num w:numId="23" w16cid:durableId="1763526271">
    <w:abstractNumId w:val="6"/>
  </w:num>
  <w:num w:numId="24" w16cid:durableId="584414339">
    <w:abstractNumId w:val="5"/>
  </w:num>
  <w:num w:numId="25" w16cid:durableId="1310091385">
    <w:abstractNumId w:val="4"/>
  </w:num>
  <w:num w:numId="26" w16cid:durableId="1488788751">
    <w:abstractNumId w:val="8"/>
  </w:num>
  <w:num w:numId="27" w16cid:durableId="1331523789">
    <w:abstractNumId w:val="3"/>
  </w:num>
  <w:num w:numId="28" w16cid:durableId="1974404820">
    <w:abstractNumId w:val="2"/>
  </w:num>
  <w:num w:numId="29" w16cid:durableId="1308124129">
    <w:abstractNumId w:val="1"/>
  </w:num>
  <w:num w:numId="30" w16cid:durableId="1636791125">
    <w:abstractNumId w:val="0"/>
  </w:num>
  <w:num w:numId="31" w16cid:durableId="140585739">
    <w:abstractNumId w:val="9"/>
  </w:num>
  <w:num w:numId="32" w16cid:durableId="1284262599">
    <w:abstractNumId w:val="7"/>
  </w:num>
  <w:num w:numId="33" w16cid:durableId="614095957">
    <w:abstractNumId w:val="6"/>
  </w:num>
  <w:num w:numId="34" w16cid:durableId="1603101322">
    <w:abstractNumId w:val="5"/>
  </w:num>
  <w:num w:numId="35" w16cid:durableId="1257518762">
    <w:abstractNumId w:val="4"/>
  </w:num>
  <w:num w:numId="36" w16cid:durableId="144469590">
    <w:abstractNumId w:val="8"/>
  </w:num>
  <w:num w:numId="37" w16cid:durableId="649361390">
    <w:abstractNumId w:val="3"/>
  </w:num>
  <w:num w:numId="38" w16cid:durableId="1946039907">
    <w:abstractNumId w:val="2"/>
  </w:num>
  <w:num w:numId="39" w16cid:durableId="1708946611">
    <w:abstractNumId w:val="1"/>
  </w:num>
  <w:num w:numId="40" w16cid:durableId="1471166281">
    <w:abstractNumId w:val="0"/>
  </w:num>
  <w:num w:numId="41" w16cid:durableId="2147239977">
    <w:abstractNumId w:val="10"/>
  </w:num>
  <w:num w:numId="42" w16cid:durableId="1708682433">
    <w:abstractNumId w:val="10"/>
  </w:num>
  <w:num w:numId="43" w16cid:durableId="820928993">
    <w:abstractNumId w:val="10"/>
  </w:num>
  <w:num w:numId="44" w16cid:durableId="12366661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RO"/>
    <w:docVar w:name="dvnumam" w:val="0"/>
    <w:docVar w:name="dvpe" w:val="781.128"/>
    <w:docVar w:name="dvrapporteur" w:val="Raportoare: "/>
    <w:docVar w:name="dvstar" w:val="***II"/>
    <w:docVar w:name="dvtitre" w:val="Rezoluția legislativă a Parlamentului European din 16 decembrie 2025 referitoare la poziția în primă lectură a Consiliului în vederea adoptării directivei parlamentului European și a Consiliului de modificare a Directivei 2013/11/UE privind soluționarea alternativă a litigiilor în materie de consum, precum și a Directivelor (UE) 2015/2302, (UE) 2019/2161 și (UE) 2020/1828 ca urmare a desființării Platformei europene de soluționare online a litigiilor(11778/1/2025 – C10-0309/2025 – 2023/0376(COD))"/>
  </w:docVars>
  <w:rsids>
    <w:rsidRoot w:val="009F258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1B6F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3B6D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5733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0764"/>
    <w:rsid w:val="009F2588"/>
    <w:rsid w:val="009F68CB"/>
    <w:rsid w:val="00A1687D"/>
    <w:rsid w:val="00A43E52"/>
    <w:rsid w:val="00A4678D"/>
    <w:rsid w:val="00A778C7"/>
    <w:rsid w:val="00AB441E"/>
    <w:rsid w:val="00AB6293"/>
    <w:rsid w:val="00AD0B5B"/>
    <w:rsid w:val="00AE0928"/>
    <w:rsid w:val="00AF3B82"/>
    <w:rsid w:val="00B12E95"/>
    <w:rsid w:val="00B22876"/>
    <w:rsid w:val="00B558F0"/>
    <w:rsid w:val="00BC0B5D"/>
    <w:rsid w:val="00BD48FE"/>
    <w:rsid w:val="00BD7BD8"/>
    <w:rsid w:val="00BE6ADC"/>
    <w:rsid w:val="00C05BFE"/>
    <w:rsid w:val="00C1414C"/>
    <w:rsid w:val="00C23CD4"/>
    <w:rsid w:val="00C61C0C"/>
    <w:rsid w:val="00C941CB"/>
    <w:rsid w:val="00CC2357"/>
    <w:rsid w:val="00CF071A"/>
    <w:rsid w:val="00D058B8"/>
    <w:rsid w:val="00D311BC"/>
    <w:rsid w:val="00D56C11"/>
    <w:rsid w:val="00D62A13"/>
    <w:rsid w:val="00D834A0"/>
    <w:rsid w:val="00D872DF"/>
    <w:rsid w:val="00D91E21"/>
    <w:rsid w:val="00DA7FCD"/>
    <w:rsid w:val="00DC2CA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815BE"/>
  <w15:chartTrackingRefBased/>
  <w15:docId w15:val="{8A94B043-20C3-4887-9FFD-02A48020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D62A1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62A13"/>
    <w:pPr>
      <w:spacing w:before="480" w:after="240"/>
    </w:pPr>
  </w:style>
  <w:style w:type="paragraph" w:customStyle="1" w:styleId="PageHeading">
    <w:name w:val="PageHeading"/>
    <w:basedOn w:val="Normal"/>
    <w:rsid w:val="00D62A1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D62A13"/>
    <w:rPr>
      <w:b/>
    </w:rPr>
  </w:style>
  <w:style w:type="paragraph" w:customStyle="1" w:styleId="NormalHanging12a">
    <w:name w:val="NormalHanging12a"/>
    <w:basedOn w:val="Normal"/>
    <w:rsid w:val="00D62A13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D62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62A13"/>
    <w:rPr>
      <w:sz w:val="24"/>
      <w:lang w:val="ro-RO"/>
    </w:rPr>
  </w:style>
  <w:style w:type="paragraph" w:customStyle="1" w:styleId="EPFooter">
    <w:name w:val="EPFooter"/>
    <w:basedOn w:val="Normal"/>
    <w:rsid w:val="00D62A1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a">
    <w:name w:val="Normal12a"/>
    <w:basedOn w:val="Normal"/>
    <w:rsid w:val="00D62A13"/>
    <w:pPr>
      <w:spacing w:after="240"/>
    </w:pPr>
  </w:style>
  <w:style w:type="paragraph" w:customStyle="1" w:styleId="Normal24a">
    <w:name w:val="Normal24a"/>
    <w:basedOn w:val="Normal"/>
    <w:rsid w:val="00D62A13"/>
    <w:pPr>
      <w:spacing w:after="480"/>
    </w:pPr>
  </w:style>
  <w:style w:type="paragraph" w:customStyle="1" w:styleId="Footprint12b">
    <w:name w:val="Footprint12b"/>
    <w:basedOn w:val="Normal"/>
    <w:rsid w:val="00D62A13"/>
    <w:pPr>
      <w:spacing w:before="240"/>
    </w:pPr>
    <w:rPr>
      <w:szCs w:val="24"/>
    </w:rPr>
  </w:style>
  <w:style w:type="character" w:styleId="Hyperlink">
    <w:name w:val="Hyperlink"/>
    <w:basedOn w:val="DefaultParagraphFont"/>
    <w:rsid w:val="00D62A13"/>
    <w:rPr>
      <w:color w:val="0563C1" w:themeColor="hyperlink"/>
      <w:u w:val="single"/>
    </w:rPr>
  </w:style>
  <w:style w:type="paragraph" w:customStyle="1" w:styleId="RollCallVotes">
    <w:name w:val="RollCallVotes"/>
    <w:basedOn w:val="Normal"/>
    <w:rsid w:val="00D62A1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62A1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62A1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62A13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9C0764"/>
    <w:rPr>
      <w:sz w:val="24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C076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9C07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C0764"/>
    <w:rPr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8/oj" TargetMode="External"/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Laura-Mirona</dc:creator>
  <cp:keywords/>
  <cp:lastModifiedBy>GHERMAN Laura-Mirona</cp:lastModifiedBy>
  <cp:revision>2</cp:revision>
  <cp:lastPrinted>2004-11-19T15:42:00Z</cp:lastPrinted>
  <dcterms:created xsi:type="dcterms:W3CDTF">2025-12-16T14:35:00Z</dcterms:created>
  <dcterms:modified xsi:type="dcterms:W3CDTF">2025-12-16T14:35:00Z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