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44C33" w14:paraId="5644F89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576504D" w14:textId="35F8C020" w:rsidR="00751A4A" w:rsidRPr="00644C33" w:rsidRDefault="00DA1EA2" w:rsidP="0010095E">
            <w:pPr>
              <w:pStyle w:val="EPName"/>
            </w:pPr>
            <w:r w:rsidRPr="00644C33">
              <w:t>Eiropas Parlaments</w:t>
            </w:r>
          </w:p>
          <w:p w14:paraId="06F3759D" w14:textId="77777777" w:rsidR="00751A4A" w:rsidRPr="00644C3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44C33">
              <w:t>2024</w:t>
            </w:r>
            <w:r w:rsidR="00817416" w:rsidRPr="00644C33">
              <w:t>-202</w:t>
            </w:r>
            <w:r w:rsidRPr="00644C33">
              <w:t>9</w:t>
            </w:r>
          </w:p>
        </w:tc>
        <w:tc>
          <w:tcPr>
            <w:tcW w:w="2268" w:type="dxa"/>
            <w:shd w:val="clear" w:color="auto" w:fill="auto"/>
          </w:tcPr>
          <w:p w14:paraId="44F3C121" w14:textId="77777777" w:rsidR="00751A4A" w:rsidRPr="00644C33" w:rsidRDefault="00187494" w:rsidP="0010095E">
            <w:pPr>
              <w:pStyle w:val="EPLogo"/>
            </w:pPr>
            <w:r w:rsidRPr="00644C33">
              <w:rPr>
                <w:noProof/>
                <w:lang w:eastAsia="ja-JP"/>
              </w:rPr>
              <w:drawing>
                <wp:inline distT="0" distB="0" distL="0" distR="0" wp14:anchorId="5DC72F48" wp14:editId="3D6DCB1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008388" w14:textId="77777777" w:rsidR="00D058B8" w:rsidRPr="00644C33" w:rsidRDefault="00D058B8" w:rsidP="004C5D52">
      <w:pPr>
        <w:pStyle w:val="LineTop"/>
      </w:pPr>
    </w:p>
    <w:p w14:paraId="41C2BC5E" w14:textId="561CCC01" w:rsidR="00680577" w:rsidRPr="00644C33" w:rsidRDefault="00DA1EA2" w:rsidP="00680577">
      <w:pPr>
        <w:pStyle w:val="EPBodyTA1"/>
      </w:pPr>
      <w:r w:rsidRPr="00644C33">
        <w:t>PIEŅEMTIE TEKSTI</w:t>
      </w:r>
    </w:p>
    <w:p w14:paraId="66C13252" w14:textId="77777777" w:rsidR="00D058B8" w:rsidRPr="00644C33" w:rsidRDefault="00D058B8" w:rsidP="00D058B8">
      <w:pPr>
        <w:pStyle w:val="LineBottom"/>
      </w:pPr>
    </w:p>
    <w:p w14:paraId="7082D562" w14:textId="424F82FF" w:rsidR="00DA1EA2" w:rsidRPr="00644C33" w:rsidRDefault="00DA1EA2" w:rsidP="00DA1EA2">
      <w:pPr>
        <w:pStyle w:val="ATHeading1"/>
      </w:pPr>
      <w:bookmarkStart w:id="0" w:name="TANumber"/>
      <w:r w:rsidRPr="00644C33">
        <w:t>P10_TA(2025)</w:t>
      </w:r>
      <w:bookmarkEnd w:id="0"/>
      <w:r w:rsidR="00644C33" w:rsidRPr="00644C33">
        <w:t>0</w:t>
      </w:r>
      <w:r w:rsidR="00644C33" w:rsidRPr="00644C33">
        <w:t>318</w:t>
      </w:r>
    </w:p>
    <w:p w14:paraId="24E0CEDF" w14:textId="73B43BAD" w:rsidR="00DA1EA2" w:rsidRPr="00644C33" w:rsidRDefault="00220179" w:rsidP="00DA1EA2">
      <w:pPr>
        <w:pStyle w:val="ATHeading2"/>
      </w:pPr>
      <w:r w:rsidRPr="00644C33">
        <w:rPr>
          <w:bCs/>
        </w:rPr>
        <w:t>Grozījumi Direktīvā par patērētāju strīdu alternatīvu izšķiršanu</w:t>
      </w:r>
    </w:p>
    <w:p w14:paraId="47FBC183" w14:textId="77777777" w:rsidR="00DA1EA2" w:rsidRPr="00644C33" w:rsidRDefault="00DA1EA2" w:rsidP="00DA1EA2">
      <w:pPr>
        <w:rPr>
          <w:i/>
          <w:vanish/>
        </w:rPr>
      </w:pPr>
      <w:r w:rsidRPr="00644C33">
        <w:rPr>
          <w:i/>
        </w:rPr>
        <w:fldChar w:fldCharType="begin"/>
      </w:r>
      <w:r w:rsidRPr="00644C33">
        <w:rPr>
          <w:i/>
        </w:rPr>
        <w:instrText xml:space="preserve"> TC"(</w:instrText>
      </w:r>
      <w:bookmarkStart w:id="1" w:name="DocNumber"/>
      <w:r w:rsidRPr="00644C33">
        <w:rPr>
          <w:i/>
        </w:rPr>
        <w:instrText>A10-0249/2025</w:instrText>
      </w:r>
      <w:bookmarkEnd w:id="1"/>
      <w:r w:rsidRPr="00644C33">
        <w:rPr>
          <w:i/>
        </w:rPr>
        <w:instrText xml:space="preserve"> - Referente: Laura </w:instrText>
      </w:r>
      <w:proofErr w:type="spellStart"/>
      <w:r w:rsidRPr="00644C33">
        <w:rPr>
          <w:i/>
        </w:rPr>
        <w:instrText>Ballarín</w:instrText>
      </w:r>
      <w:proofErr w:type="spellEnd"/>
      <w:r w:rsidRPr="00644C33">
        <w:rPr>
          <w:i/>
        </w:rPr>
        <w:instrText xml:space="preserve"> </w:instrText>
      </w:r>
      <w:proofErr w:type="spellStart"/>
      <w:r w:rsidRPr="00644C33">
        <w:rPr>
          <w:i/>
        </w:rPr>
        <w:instrText>Cereza</w:instrText>
      </w:r>
      <w:proofErr w:type="spellEnd"/>
      <w:r w:rsidRPr="00644C33">
        <w:rPr>
          <w:i/>
        </w:rPr>
        <w:instrText xml:space="preserve">)"\l3 \n&gt; \* MERGEFORMAT </w:instrText>
      </w:r>
      <w:r w:rsidRPr="00644C33">
        <w:rPr>
          <w:i/>
        </w:rPr>
        <w:fldChar w:fldCharType="end"/>
      </w:r>
    </w:p>
    <w:p w14:paraId="12647971" w14:textId="77777777" w:rsidR="00DA1EA2" w:rsidRPr="00644C33" w:rsidRDefault="00DA1EA2" w:rsidP="00DA1EA2">
      <w:pPr>
        <w:rPr>
          <w:vanish/>
        </w:rPr>
      </w:pPr>
      <w:bookmarkStart w:id="2" w:name="Commission"/>
      <w:r w:rsidRPr="00644C33">
        <w:rPr>
          <w:vanish/>
        </w:rPr>
        <w:t>Iekšējā tirgus un patērētāju aizsardzības komiteja</w:t>
      </w:r>
      <w:bookmarkEnd w:id="2"/>
    </w:p>
    <w:p w14:paraId="1825CCD6" w14:textId="77777777" w:rsidR="00DA1EA2" w:rsidRPr="00644C33" w:rsidRDefault="00DA1EA2" w:rsidP="00DA1EA2">
      <w:pPr>
        <w:rPr>
          <w:vanish/>
        </w:rPr>
      </w:pPr>
      <w:bookmarkStart w:id="3" w:name="PE"/>
      <w:r w:rsidRPr="00644C33">
        <w:rPr>
          <w:vanish/>
        </w:rPr>
        <w:t>PE781.128</w:t>
      </w:r>
      <w:bookmarkEnd w:id="3"/>
    </w:p>
    <w:p w14:paraId="0AF73A0D" w14:textId="69717FD2" w:rsidR="00DA1EA2" w:rsidRPr="00644C33" w:rsidRDefault="00DA1EA2" w:rsidP="00DA1EA2">
      <w:pPr>
        <w:pStyle w:val="ATHeading3"/>
      </w:pPr>
      <w:bookmarkStart w:id="4" w:name="Sujet"/>
      <w:r w:rsidRPr="00644C33">
        <w:t xml:space="preserve">Eiropas Parlamenta 2025. gada </w:t>
      </w:r>
      <w:r w:rsidR="00220179" w:rsidRPr="00644C33">
        <w:t>16</w:t>
      </w:r>
      <w:r w:rsidRPr="00644C33">
        <w:t xml:space="preserve">. </w:t>
      </w:r>
      <w:r w:rsidR="00220179" w:rsidRPr="00644C33">
        <w:t>decembra</w:t>
      </w:r>
      <w:r w:rsidRPr="00644C33">
        <w:t xml:space="preserve"> normatīvā rezolūcija par Padomes nostāju pirmajā lasījumā, lai pieņemtu Eiropas Parlamenta un Padomes direktīvu, ar ko groza Direktīvu 2013/11/ES par patērētāju strīdu alternatīvu izšķiršanu un groza Direktīvas (ES) 2015/2302, (ES) 2019/2161 un (ES) 2020/1828 pēc Eiropas strīdu izšķiršanas tiešsaistē platformas slēgšanas</w:t>
      </w:r>
      <w:bookmarkEnd w:id="4"/>
      <w:r w:rsidRPr="00644C33">
        <w:t xml:space="preserve"> </w:t>
      </w:r>
      <w:bookmarkStart w:id="5" w:name="References"/>
      <w:r w:rsidRPr="00644C33">
        <w:t>(11778/1/2025 – C10-0309/2025 – 2023/0376(COD))</w:t>
      </w:r>
      <w:bookmarkEnd w:id="5"/>
    </w:p>
    <w:p w14:paraId="50197C39" w14:textId="77777777" w:rsidR="001072C0" w:rsidRPr="00644C33" w:rsidRDefault="001072C0" w:rsidP="001072C0">
      <w:pPr>
        <w:pStyle w:val="NormalBold"/>
      </w:pPr>
      <w:bookmarkStart w:id="6" w:name="TextBodyBegin"/>
      <w:bookmarkEnd w:id="6"/>
      <w:r w:rsidRPr="00644C33">
        <w:t>(Parastā likumdošanas procedūra: otrais lasījums)</w:t>
      </w:r>
    </w:p>
    <w:p w14:paraId="7CBF80A7" w14:textId="77777777" w:rsidR="001072C0" w:rsidRPr="00644C33" w:rsidRDefault="001072C0" w:rsidP="001072C0">
      <w:pPr>
        <w:pStyle w:val="EPComma"/>
      </w:pPr>
      <w:r w:rsidRPr="00644C33">
        <w:rPr>
          <w:i/>
        </w:rPr>
        <w:t>Eiropas Parlaments</w:t>
      </w:r>
      <w:r w:rsidRPr="00644C33">
        <w:t>,</w:t>
      </w:r>
    </w:p>
    <w:p w14:paraId="59B780BA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Padomes nostāju pirmajā lasījumā (11778/1/2025 – C10</w:t>
      </w:r>
      <w:r w:rsidRPr="00644C33">
        <w:noBreakHyphen/>
        <w:t>0309/2025),</w:t>
      </w:r>
    </w:p>
    <w:p w14:paraId="6FD2355C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Eiropas Ekonomikas un sociālo lietu komitejas 2024. gada 14. februāra atzinumu</w:t>
      </w:r>
      <w:r w:rsidRPr="00644C33">
        <w:rPr>
          <w:rStyle w:val="FootnoteReference"/>
        </w:rPr>
        <w:footnoteReference w:id="1"/>
      </w:r>
      <w:r w:rsidRPr="00644C33">
        <w:t>,</w:t>
      </w:r>
    </w:p>
    <w:p w14:paraId="6E5609CC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Parlamenta nostāju pirmajā lasījumā</w:t>
      </w:r>
      <w:r w:rsidRPr="00644C33">
        <w:rPr>
          <w:rStyle w:val="FootnoteReference"/>
        </w:rPr>
        <w:footnoteReference w:id="2"/>
      </w:r>
      <w:r w:rsidRPr="00644C33">
        <w:t xml:space="preserve"> attiecībā uz Komisijas priekšlikumu Eiropas Parlamentam un Padomei (COM(2023)0649),</w:t>
      </w:r>
    </w:p>
    <w:p w14:paraId="75C2CF37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Līguma par Eiropas Savienības darbību 294. panta 7. punktu,</w:t>
      </w:r>
    </w:p>
    <w:p w14:paraId="4D9477C7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provizorisko vienošanos, ko atbildīgā komiteja apstiprinājusi saskaņā ar Reglamenta 75. panta 4. punktu,</w:t>
      </w:r>
    </w:p>
    <w:p w14:paraId="53C3DE70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Reglamenta 68. pantu,</w:t>
      </w:r>
    </w:p>
    <w:p w14:paraId="1C396407" w14:textId="77777777" w:rsidR="001072C0" w:rsidRPr="00644C33" w:rsidRDefault="001072C0" w:rsidP="001072C0">
      <w:pPr>
        <w:pStyle w:val="NormalHanging12a"/>
      </w:pPr>
      <w:r w:rsidRPr="00644C33">
        <w:t>–</w:t>
      </w:r>
      <w:r w:rsidRPr="00644C33">
        <w:tab/>
        <w:t>ņemot vērā Iekšējā tirgus un patērētāju aizsardzības komitejas ieteikumu otrajam lasījumam (A10</w:t>
      </w:r>
      <w:r w:rsidRPr="00644C33">
        <w:noBreakHyphen/>
        <w:t>0249/2025),</w:t>
      </w:r>
    </w:p>
    <w:p w14:paraId="60BF2540" w14:textId="77777777" w:rsidR="001072C0" w:rsidRPr="00644C33" w:rsidRDefault="001072C0" w:rsidP="001072C0">
      <w:pPr>
        <w:pStyle w:val="NormalHanging12a"/>
      </w:pPr>
      <w:r w:rsidRPr="00644C33">
        <w:t>1.</w:t>
      </w:r>
      <w:r w:rsidRPr="00644C33">
        <w:tab/>
        <w:t>apstiprina Padomes nostāju pirmajā lasījumā;</w:t>
      </w:r>
    </w:p>
    <w:p w14:paraId="2004F7BF" w14:textId="77777777" w:rsidR="001072C0" w:rsidRPr="00644C33" w:rsidRDefault="001072C0" w:rsidP="001072C0">
      <w:pPr>
        <w:pStyle w:val="NormalHanging12a"/>
      </w:pPr>
      <w:r w:rsidRPr="00644C33">
        <w:t>2.</w:t>
      </w:r>
      <w:r w:rsidRPr="00644C33">
        <w:tab/>
        <w:t>konstatē, ka akts ir pieņemts saskaņā ar Padomes nostāju;</w:t>
      </w:r>
    </w:p>
    <w:p w14:paraId="79A118A6" w14:textId="77777777" w:rsidR="001072C0" w:rsidRPr="00644C33" w:rsidRDefault="001072C0" w:rsidP="001072C0">
      <w:pPr>
        <w:pStyle w:val="NormalHanging12a"/>
      </w:pPr>
      <w:r w:rsidRPr="00644C33">
        <w:lastRenderedPageBreak/>
        <w:t>3.</w:t>
      </w:r>
      <w:r w:rsidRPr="00644C33">
        <w:tab/>
        <w:t>uzdod priekšsēdētājai parakstīt aktu kopā ar Padomes priekšsēdētāju saskaņā ar Līguma par Eiropas Savienības darbību 297. panta 1. punktu;</w:t>
      </w:r>
    </w:p>
    <w:p w14:paraId="343B9656" w14:textId="77777777" w:rsidR="001072C0" w:rsidRPr="00644C33" w:rsidRDefault="001072C0" w:rsidP="001072C0">
      <w:pPr>
        <w:pStyle w:val="NormalHanging12a"/>
      </w:pPr>
      <w:r w:rsidRPr="00644C33">
        <w:t>4.</w:t>
      </w:r>
      <w:r w:rsidRPr="00644C33">
        <w:tab/>
        <w:t xml:space="preserve">uzdod ģenerālsekretāram parakstīt aktu pēc tam, kad ir notikusi pārbaude, ka ir pienācīgi ievērotas visas procedūras, un pēc saskaņošanas ar Padomes ģenerālsekretāru nodrošināt tā publicēšanu </w:t>
      </w:r>
      <w:r w:rsidRPr="00644C33">
        <w:rPr>
          <w:i/>
          <w:iCs/>
        </w:rPr>
        <w:t>Eiropas Savienības Oficiālajā Vēstnesī</w:t>
      </w:r>
      <w:r w:rsidRPr="00644C33">
        <w:t>;</w:t>
      </w:r>
    </w:p>
    <w:p w14:paraId="6D0328CC" w14:textId="4F91CCE0" w:rsidR="00DA2B99" w:rsidRPr="00644C33" w:rsidRDefault="001072C0" w:rsidP="00DA2B99">
      <w:pPr>
        <w:pStyle w:val="NormalHanging12a"/>
      </w:pPr>
      <w:r w:rsidRPr="00644C33">
        <w:t>5.</w:t>
      </w:r>
      <w:r w:rsidRPr="00644C33">
        <w:tab/>
        <w:t>uzdod priekšsēdētājai Parlamenta nostāju nosūtīt Padomei, Komisijai un dalībvalstu parlamentiem.</w:t>
      </w:r>
    </w:p>
    <w:p w14:paraId="0F084008" w14:textId="7A2B8D34" w:rsidR="00E365E1" w:rsidRPr="00644C33" w:rsidRDefault="00E365E1" w:rsidP="00DA1EA2"/>
    <w:sectPr w:rsidR="00E365E1" w:rsidRPr="00644C33" w:rsidSect="00DA2B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2069" w14:textId="77777777" w:rsidR="00DA1EA2" w:rsidRPr="00DA2B99" w:rsidRDefault="00DA1EA2">
      <w:r w:rsidRPr="00DA2B99">
        <w:separator/>
      </w:r>
    </w:p>
  </w:endnote>
  <w:endnote w:type="continuationSeparator" w:id="0">
    <w:p w14:paraId="26A5E4E5" w14:textId="77777777" w:rsidR="00DA1EA2" w:rsidRPr="00DA2B99" w:rsidRDefault="00DA1EA2">
      <w:r w:rsidRPr="00DA2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27DC" w14:textId="77777777" w:rsidR="00064002" w:rsidRPr="00DA2B9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5421" w14:textId="77777777" w:rsidR="00064002" w:rsidRPr="00DA2B9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4FF6" w14:textId="77777777" w:rsidR="00064002" w:rsidRPr="00DA2B9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58CA" w14:textId="77777777" w:rsidR="00DA1EA2" w:rsidRPr="00DA2B99" w:rsidRDefault="00DA1EA2">
      <w:r w:rsidRPr="00DA2B99">
        <w:separator/>
      </w:r>
    </w:p>
  </w:footnote>
  <w:footnote w:type="continuationSeparator" w:id="0">
    <w:p w14:paraId="2348C4C6" w14:textId="77777777" w:rsidR="00DA1EA2" w:rsidRPr="00DA2B99" w:rsidRDefault="00DA1EA2">
      <w:r w:rsidRPr="00DA2B99">
        <w:continuationSeparator/>
      </w:r>
    </w:p>
  </w:footnote>
  <w:footnote w:id="1">
    <w:p w14:paraId="328A8431" w14:textId="5A1D7178" w:rsidR="001072C0" w:rsidRPr="00DA2B99" w:rsidRDefault="001072C0" w:rsidP="00DA2B99">
      <w:pPr>
        <w:pStyle w:val="FootnoteText"/>
        <w:ind w:left="567" w:hanging="567"/>
        <w:rPr>
          <w:sz w:val="24"/>
          <w:lang w:val="lv-LV"/>
        </w:rPr>
      </w:pPr>
      <w:r w:rsidRPr="00DA2B99">
        <w:rPr>
          <w:rStyle w:val="FootnoteReference"/>
          <w:sz w:val="24"/>
          <w:lang w:val="lv-LV"/>
        </w:rPr>
        <w:footnoteRef/>
      </w:r>
      <w:r w:rsidR="00DA2B99" w:rsidRPr="00DA2B99">
        <w:rPr>
          <w:sz w:val="24"/>
          <w:lang w:val="lv-LV"/>
        </w:rPr>
        <w:t xml:space="preserve"> </w:t>
      </w:r>
      <w:r w:rsidR="00DA2B99" w:rsidRPr="00DA2B99">
        <w:rPr>
          <w:sz w:val="24"/>
          <w:lang w:val="lv-LV"/>
        </w:rPr>
        <w:tab/>
      </w:r>
      <w:r w:rsidRPr="00DA2B99">
        <w:rPr>
          <w:sz w:val="24"/>
          <w:lang w:val="lv-LV"/>
        </w:rPr>
        <w:t xml:space="preserve">OV C, C/2024/2482, 23.4.2024., ELI: </w:t>
      </w:r>
      <w:hyperlink r:id="rId1" w:history="1">
        <w:r w:rsidRPr="00220179">
          <w:rPr>
            <w:rStyle w:val="Hyperlink"/>
            <w:sz w:val="24"/>
            <w:lang w:val="lv-LV"/>
          </w:rPr>
          <w:t>http://data.europa.eu/eli/C/2024/2482/oj</w:t>
        </w:r>
      </w:hyperlink>
      <w:r w:rsidRPr="00DA2B99">
        <w:rPr>
          <w:sz w:val="24"/>
          <w:lang w:val="lv-LV"/>
        </w:rPr>
        <w:t>.</w:t>
      </w:r>
    </w:p>
  </w:footnote>
  <w:footnote w:id="2">
    <w:p w14:paraId="06FE1948" w14:textId="552488E1" w:rsidR="001072C0" w:rsidRPr="00DA2B99" w:rsidRDefault="001072C0" w:rsidP="00DA2B99">
      <w:pPr>
        <w:pStyle w:val="FootnoteText"/>
        <w:ind w:left="567" w:hanging="567"/>
        <w:rPr>
          <w:sz w:val="24"/>
          <w:lang w:val="lv-LV"/>
        </w:rPr>
      </w:pPr>
      <w:r w:rsidRPr="00DA2B99">
        <w:rPr>
          <w:rStyle w:val="FootnoteReference"/>
          <w:sz w:val="24"/>
          <w:lang w:val="lv-LV"/>
        </w:rPr>
        <w:footnoteRef/>
      </w:r>
      <w:r w:rsidR="00DA2B99" w:rsidRPr="00DA2B99">
        <w:rPr>
          <w:sz w:val="24"/>
          <w:lang w:val="lv-LV"/>
        </w:rPr>
        <w:t xml:space="preserve"> </w:t>
      </w:r>
      <w:r w:rsidR="00DA2B99" w:rsidRPr="00DA2B99">
        <w:rPr>
          <w:sz w:val="24"/>
          <w:lang w:val="lv-LV"/>
        </w:rPr>
        <w:tab/>
      </w:r>
      <w:r w:rsidRPr="00DA2B99">
        <w:rPr>
          <w:sz w:val="24"/>
          <w:lang w:val="lv-LV"/>
        </w:rPr>
        <w:t xml:space="preserve">OV C, C/2025/1028, 27.2.2025., ELI: </w:t>
      </w:r>
      <w:hyperlink r:id="rId2" w:history="1">
        <w:r w:rsidRPr="00220179">
          <w:rPr>
            <w:rStyle w:val="Hyperlink"/>
            <w:sz w:val="24"/>
            <w:lang w:val="lv-LV"/>
          </w:rPr>
          <w:t>http://data.europa.eu/eli/C/2025/1028/oj</w:t>
        </w:r>
      </w:hyperlink>
      <w:r w:rsidRPr="00DA2B99">
        <w:rPr>
          <w:sz w:val="24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40DE" w14:textId="77777777" w:rsidR="00064002" w:rsidRPr="00DA2B9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ACEF" w14:textId="77777777" w:rsidR="00064002" w:rsidRPr="00DA2B9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C4FB" w14:textId="77777777" w:rsidR="00064002" w:rsidRPr="00DA2B9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62513333">
    <w:abstractNumId w:val="9"/>
  </w:num>
  <w:num w:numId="2" w16cid:durableId="840045341">
    <w:abstractNumId w:val="9"/>
  </w:num>
  <w:num w:numId="3" w16cid:durableId="2060669795">
    <w:abstractNumId w:val="7"/>
  </w:num>
  <w:num w:numId="4" w16cid:durableId="1301569565">
    <w:abstractNumId w:val="7"/>
  </w:num>
  <w:num w:numId="5" w16cid:durableId="464078756">
    <w:abstractNumId w:val="6"/>
  </w:num>
  <w:num w:numId="6" w16cid:durableId="1021593270">
    <w:abstractNumId w:val="6"/>
  </w:num>
  <w:num w:numId="7" w16cid:durableId="325714945">
    <w:abstractNumId w:val="5"/>
  </w:num>
  <w:num w:numId="8" w16cid:durableId="701170515">
    <w:abstractNumId w:val="5"/>
  </w:num>
  <w:num w:numId="9" w16cid:durableId="1102802898">
    <w:abstractNumId w:val="4"/>
  </w:num>
  <w:num w:numId="10" w16cid:durableId="459156077">
    <w:abstractNumId w:val="4"/>
  </w:num>
  <w:num w:numId="11" w16cid:durableId="48723365">
    <w:abstractNumId w:val="8"/>
  </w:num>
  <w:num w:numId="12" w16cid:durableId="2036493728">
    <w:abstractNumId w:val="8"/>
  </w:num>
  <w:num w:numId="13" w16cid:durableId="700328152">
    <w:abstractNumId w:val="3"/>
  </w:num>
  <w:num w:numId="14" w16cid:durableId="748045308">
    <w:abstractNumId w:val="3"/>
  </w:num>
  <w:num w:numId="15" w16cid:durableId="260916286">
    <w:abstractNumId w:val="2"/>
  </w:num>
  <w:num w:numId="16" w16cid:durableId="600994357">
    <w:abstractNumId w:val="2"/>
  </w:num>
  <w:num w:numId="17" w16cid:durableId="1746880238">
    <w:abstractNumId w:val="1"/>
  </w:num>
  <w:num w:numId="18" w16cid:durableId="1935943506">
    <w:abstractNumId w:val="1"/>
  </w:num>
  <w:num w:numId="19" w16cid:durableId="324746867">
    <w:abstractNumId w:val="0"/>
  </w:num>
  <w:num w:numId="20" w16cid:durableId="982805797">
    <w:abstractNumId w:val="0"/>
  </w:num>
  <w:num w:numId="21" w16cid:durableId="729811115">
    <w:abstractNumId w:val="9"/>
  </w:num>
  <w:num w:numId="22" w16cid:durableId="636372867">
    <w:abstractNumId w:val="7"/>
  </w:num>
  <w:num w:numId="23" w16cid:durableId="830608331">
    <w:abstractNumId w:val="6"/>
  </w:num>
  <w:num w:numId="24" w16cid:durableId="1487164645">
    <w:abstractNumId w:val="5"/>
  </w:num>
  <w:num w:numId="25" w16cid:durableId="572087813">
    <w:abstractNumId w:val="4"/>
  </w:num>
  <w:num w:numId="26" w16cid:durableId="1691028442">
    <w:abstractNumId w:val="8"/>
  </w:num>
  <w:num w:numId="27" w16cid:durableId="1974940963">
    <w:abstractNumId w:val="3"/>
  </w:num>
  <w:num w:numId="28" w16cid:durableId="463043030">
    <w:abstractNumId w:val="2"/>
  </w:num>
  <w:num w:numId="29" w16cid:durableId="859973590">
    <w:abstractNumId w:val="1"/>
  </w:num>
  <w:num w:numId="30" w16cid:durableId="292177608">
    <w:abstractNumId w:val="0"/>
  </w:num>
  <w:num w:numId="31" w16cid:durableId="577204512">
    <w:abstractNumId w:val="9"/>
  </w:num>
  <w:num w:numId="32" w16cid:durableId="538904958">
    <w:abstractNumId w:val="7"/>
  </w:num>
  <w:num w:numId="33" w16cid:durableId="1631090802">
    <w:abstractNumId w:val="6"/>
  </w:num>
  <w:num w:numId="34" w16cid:durableId="799304283">
    <w:abstractNumId w:val="5"/>
  </w:num>
  <w:num w:numId="35" w16cid:durableId="356279880">
    <w:abstractNumId w:val="4"/>
  </w:num>
  <w:num w:numId="36" w16cid:durableId="1884248418">
    <w:abstractNumId w:val="8"/>
  </w:num>
  <w:num w:numId="37" w16cid:durableId="1972250270">
    <w:abstractNumId w:val="3"/>
  </w:num>
  <w:num w:numId="38" w16cid:durableId="1992251055">
    <w:abstractNumId w:val="2"/>
  </w:num>
  <w:num w:numId="39" w16cid:durableId="1040591853">
    <w:abstractNumId w:val="1"/>
  </w:num>
  <w:num w:numId="40" w16cid:durableId="513376197">
    <w:abstractNumId w:val="0"/>
  </w:num>
  <w:num w:numId="41" w16cid:durableId="620984">
    <w:abstractNumId w:val="10"/>
  </w:num>
  <w:num w:numId="42" w16cid:durableId="109016897">
    <w:abstractNumId w:val="10"/>
  </w:num>
  <w:num w:numId="43" w16cid:durableId="1050420009">
    <w:abstractNumId w:val="10"/>
  </w:num>
  <w:num w:numId="44" w16cid:durableId="1682511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LV"/>
    <w:docVar w:name="dvnumam" w:val="0"/>
    <w:docVar w:name="dvpe" w:val="781.128"/>
    <w:docVar w:name="dvrapporteur" w:val="Referente: "/>
    <w:docVar w:name="dvstar" w:val="***II"/>
    <w:docVar w:name="dvtitre" w:val="Eiropas Parlamenta 2025. gada XX. XXX normatīvā rezolūcija par Padomes nostāju pirmajā lasījumā, lai pieņemtu Eiropas Parlamenta un Padomes direktīvu, ar ko groza Direktīvu 2013/11/ES par patērētāju strīdu alternatīvu izšķiršanu un groza Direktīvas (ES) 2015/2302, (ES) 2019/2161 un (ES) 2020/1828 pēc Eiropas strīdu izšķiršanas tiešsaistē platformas slēgšanas(11778/1/2025 – C10-0309/2025 – 2023/0376(COD))"/>
  </w:docVars>
  <w:rsids>
    <w:rsidRoot w:val="00DA1EA2"/>
    <w:rsid w:val="00002272"/>
    <w:rsid w:val="00064002"/>
    <w:rsid w:val="000677B9"/>
    <w:rsid w:val="000831BA"/>
    <w:rsid w:val="000A42CC"/>
    <w:rsid w:val="000E7DD9"/>
    <w:rsid w:val="0010095E"/>
    <w:rsid w:val="001072C0"/>
    <w:rsid w:val="00125B37"/>
    <w:rsid w:val="00187494"/>
    <w:rsid w:val="001F32AE"/>
    <w:rsid w:val="0022017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5F82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44C3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61DB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07F6"/>
    <w:rsid w:val="00D56C11"/>
    <w:rsid w:val="00D834A0"/>
    <w:rsid w:val="00D872DF"/>
    <w:rsid w:val="00D91E21"/>
    <w:rsid w:val="00DA1EA2"/>
    <w:rsid w:val="00DA2B99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528DE"/>
  <w15:chartTrackingRefBased/>
  <w15:docId w15:val="{8BB48CA8-6D54-4B37-8CED-961CEDAA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072C0"/>
    <w:pPr>
      <w:spacing w:before="480" w:after="240"/>
    </w:pPr>
  </w:style>
  <w:style w:type="paragraph" w:customStyle="1" w:styleId="NormalBold">
    <w:name w:val="NormalBold"/>
    <w:basedOn w:val="Normal"/>
    <w:rsid w:val="001072C0"/>
    <w:rPr>
      <w:b/>
    </w:rPr>
  </w:style>
  <w:style w:type="paragraph" w:customStyle="1" w:styleId="NormalBold12a">
    <w:name w:val="NormalBold12a"/>
    <w:basedOn w:val="Normal"/>
    <w:rsid w:val="001072C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072C0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220179"/>
    <w:rPr>
      <w:sz w:val="24"/>
      <w:lang w:val="lv-LV"/>
    </w:rPr>
  </w:style>
  <w:style w:type="character" w:styleId="Hyperlink">
    <w:name w:val="Hyperlink"/>
    <w:basedOn w:val="DefaultParagraphFont"/>
    <w:rsid w:val="002201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1761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MERSCH Larisa</cp:lastModifiedBy>
  <cp:revision>2</cp:revision>
  <cp:lastPrinted>2004-11-19T15:42:00Z</cp:lastPrinted>
  <dcterms:created xsi:type="dcterms:W3CDTF">2025-12-16T11:21:00Z</dcterms:created>
  <dcterms:modified xsi:type="dcterms:W3CDTF">2025-12-16T11:21:00Z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