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66D" w:rsidRPr="00CA666D" w:rsidRDefault="00CA666D" w:rsidP="00CA666D">
      <w:pPr>
        <w:spacing w:after="240"/>
        <w:jc w:val="center"/>
        <w:rPr>
          <w:rFonts w:eastAsia="Times New Roman"/>
          <w:szCs w:val="20"/>
          <w:lang w:val="fr-FR" w:eastAsia="en-GB"/>
        </w:rPr>
      </w:pPr>
      <w:bookmarkStart w:id="0" w:name="_GoBack"/>
      <w:bookmarkEnd w:id="0"/>
      <w:r w:rsidRPr="00CA666D">
        <w:rPr>
          <w:rFonts w:eastAsia="Times New Roman"/>
          <w:b/>
          <w:szCs w:val="20"/>
          <w:lang w:val="fr-FR" w:eastAsia="en-GB"/>
        </w:rPr>
        <w:t>PROCÉDURE LÉGISLATIVE ORDINAIRE</w:t>
      </w:r>
    </w:p>
    <w:p w:rsidR="00CA666D" w:rsidRPr="00CA666D" w:rsidRDefault="00CA666D" w:rsidP="00CA666D">
      <w:pPr>
        <w:spacing w:after="600"/>
        <w:jc w:val="center"/>
        <w:rPr>
          <w:rFonts w:eastAsia="Times New Roman"/>
          <w:b/>
          <w:bCs/>
          <w:lang w:val="fr-FR" w:eastAsia="en-GB"/>
        </w:rPr>
      </w:pPr>
      <w:bookmarkStart w:id="1" w:name="undertakings"/>
      <w:r w:rsidRPr="00CA666D">
        <w:rPr>
          <w:rFonts w:eastAsia="Times New Roman"/>
          <w:b/>
          <w:szCs w:val="20"/>
          <w:lang w:val="fr-FR" w:eastAsia="en-GB"/>
        </w:rPr>
        <w:t>Suite donnée à la résolution législative du Parlement européen sur la proposition de décision du Parlement européen et du Conseil modifiant la directive 2013/34/UE en ce qui concerne les délais d’adoption des normes d’information en matière de durabilité pour certains secteurs et pour certaines entreprises de pays tiers</w:t>
      </w:r>
    </w:p>
    <w:bookmarkEnd w:id="1"/>
    <w:p w:rsidR="00CA666D" w:rsidRPr="00CA666D" w:rsidRDefault="00CA666D" w:rsidP="00CA666D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CA666D">
        <w:rPr>
          <w:rFonts w:eastAsia="Times New Roman"/>
          <w:b/>
          <w:szCs w:val="20"/>
          <w:lang w:val="fr-FR" w:eastAsia="en-GB"/>
        </w:rPr>
        <w:t>1.</w:t>
      </w:r>
      <w:r w:rsidRPr="00CA666D">
        <w:rPr>
          <w:rFonts w:eastAsia="Times New Roman"/>
          <w:b/>
          <w:szCs w:val="20"/>
          <w:lang w:val="fr-FR" w:eastAsia="en-GB"/>
        </w:rPr>
        <w:tab/>
        <w:t xml:space="preserve">Rapporteur(e)(s): </w:t>
      </w:r>
      <w:r w:rsidRPr="00CA666D">
        <w:rPr>
          <w:rFonts w:eastAsia="Times New Roman"/>
          <w:szCs w:val="20"/>
          <w:lang w:val="fr-FR" w:eastAsia="en-GB"/>
        </w:rPr>
        <w:t>Axel VOSS (PPE/DE)</w:t>
      </w:r>
    </w:p>
    <w:p w:rsidR="00CA666D" w:rsidRPr="00CA666D" w:rsidRDefault="00CA666D" w:rsidP="00CA666D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CA666D">
        <w:rPr>
          <w:rFonts w:eastAsia="Times New Roman"/>
          <w:b/>
          <w:szCs w:val="20"/>
          <w:lang w:val="fr-FR" w:eastAsia="en-GB"/>
        </w:rPr>
        <w:t>2.</w:t>
      </w:r>
      <w:r w:rsidRPr="00CA666D">
        <w:rPr>
          <w:rFonts w:eastAsia="Times New Roman"/>
          <w:b/>
          <w:szCs w:val="20"/>
          <w:lang w:val="fr-FR" w:eastAsia="en-GB"/>
        </w:rPr>
        <w:tab/>
        <w:t>Numéros de référence:</w:t>
      </w:r>
      <w:r w:rsidRPr="00CA666D">
        <w:rPr>
          <w:rFonts w:eastAsia="Times New Roman"/>
          <w:szCs w:val="20"/>
          <w:lang w:val="fr-FR" w:eastAsia="en-GB"/>
        </w:rPr>
        <w:t xml:space="preserve"> 2023/0368 (COD) / A9-0013/2024 / P9_TA(2024)0189</w:t>
      </w:r>
    </w:p>
    <w:p w:rsidR="00CA666D" w:rsidRPr="00CA666D" w:rsidRDefault="00CA666D" w:rsidP="00CA666D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CA666D">
        <w:rPr>
          <w:rFonts w:eastAsia="Times New Roman"/>
          <w:b/>
          <w:szCs w:val="20"/>
          <w:lang w:val="fr-FR" w:eastAsia="en-GB"/>
        </w:rPr>
        <w:t>3.</w:t>
      </w:r>
      <w:r w:rsidRPr="00CA666D">
        <w:rPr>
          <w:rFonts w:eastAsia="Times New Roman"/>
          <w:b/>
          <w:szCs w:val="20"/>
          <w:lang w:val="fr-FR" w:eastAsia="en-GB"/>
        </w:rPr>
        <w:tab/>
        <w:t>Date d’adoption de la résolution:</w:t>
      </w:r>
      <w:r w:rsidRPr="00CA666D">
        <w:rPr>
          <w:rFonts w:eastAsia="Times New Roman"/>
          <w:szCs w:val="20"/>
          <w:lang w:val="fr-FR" w:eastAsia="en-GB"/>
        </w:rPr>
        <w:t xml:space="preserve"> 10 avril 2024</w:t>
      </w:r>
    </w:p>
    <w:p w:rsidR="00CA666D" w:rsidRPr="00CA666D" w:rsidRDefault="00CA666D" w:rsidP="00CA666D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CA666D">
        <w:rPr>
          <w:rFonts w:eastAsia="Times New Roman"/>
          <w:b/>
          <w:szCs w:val="20"/>
          <w:lang w:val="fr-FR" w:eastAsia="en-GB"/>
        </w:rPr>
        <w:t>4.</w:t>
      </w:r>
      <w:r w:rsidRPr="00CA666D">
        <w:rPr>
          <w:rFonts w:eastAsia="Times New Roman"/>
          <w:b/>
          <w:szCs w:val="20"/>
          <w:lang w:val="fr-FR" w:eastAsia="en-GB"/>
        </w:rPr>
        <w:tab/>
        <w:t xml:space="preserve">Base juridique: </w:t>
      </w:r>
      <w:r w:rsidRPr="00CA666D">
        <w:rPr>
          <w:rFonts w:eastAsia="Times New Roman"/>
          <w:szCs w:val="20"/>
          <w:lang w:val="fr-FR" w:eastAsia="en-GB"/>
        </w:rPr>
        <w:t>article 50, paragraphe 1, du traité sur le fonctionnement de l'Union européenne</w:t>
      </w:r>
    </w:p>
    <w:p w:rsidR="00CA666D" w:rsidRPr="00CA666D" w:rsidRDefault="00CA666D" w:rsidP="00CA666D">
      <w:pPr>
        <w:spacing w:after="240" w:line="240" w:lineRule="atLeast"/>
        <w:ind w:left="567" w:hanging="567"/>
        <w:rPr>
          <w:rFonts w:eastAsia="Times New Roman"/>
          <w:lang w:val="fr-FR" w:eastAsia="en-GB"/>
        </w:rPr>
      </w:pPr>
      <w:r w:rsidRPr="00CA666D">
        <w:rPr>
          <w:rFonts w:eastAsia="Times New Roman"/>
          <w:b/>
          <w:szCs w:val="20"/>
          <w:lang w:val="fr-FR" w:eastAsia="en-GB"/>
        </w:rPr>
        <w:t>5.</w:t>
      </w:r>
      <w:r w:rsidRPr="00CA666D">
        <w:rPr>
          <w:rFonts w:eastAsia="Times New Roman"/>
          <w:b/>
          <w:szCs w:val="20"/>
          <w:lang w:val="fr-FR" w:eastAsia="en-GB"/>
        </w:rPr>
        <w:tab/>
        <w:t>Commission parlementaire compétente:</w:t>
      </w:r>
      <w:r w:rsidRPr="00CA666D">
        <w:rPr>
          <w:rFonts w:eastAsia="Times New Roman"/>
          <w:szCs w:val="20"/>
          <w:lang w:val="fr-FR" w:eastAsia="en-GB"/>
        </w:rPr>
        <w:t xml:space="preserve"> commission des affaires juridiques (JURI)</w:t>
      </w:r>
    </w:p>
    <w:p w:rsidR="008765BE" w:rsidRDefault="00CA666D" w:rsidP="00CA666D">
      <w:r w:rsidRPr="00CA666D">
        <w:rPr>
          <w:rFonts w:eastAsia="Times New Roman"/>
          <w:b/>
          <w:szCs w:val="20"/>
          <w:lang w:val="fr-FR" w:eastAsia="en-GB"/>
        </w:rPr>
        <w:t>6.</w:t>
      </w:r>
      <w:r w:rsidRPr="00CA666D">
        <w:rPr>
          <w:rFonts w:eastAsia="Times New Roman"/>
          <w:b/>
          <w:szCs w:val="20"/>
          <w:lang w:val="fr-FR" w:eastAsia="en-GB"/>
        </w:rPr>
        <w:tab/>
        <w:t>Position de la Commission:</w:t>
      </w:r>
      <w:r w:rsidRPr="00CA666D">
        <w:rPr>
          <w:rFonts w:eastAsia="Times New Roman"/>
          <w:color w:val="000000"/>
          <w:sz w:val="22"/>
          <w:szCs w:val="20"/>
          <w:lang w:val="fr-FR" w:eastAsia="en-GB"/>
        </w:rPr>
        <w:t xml:space="preserve"> </w:t>
      </w:r>
      <w:r w:rsidRPr="00CA666D">
        <w:rPr>
          <w:rFonts w:eastAsia="Times New Roman"/>
          <w:color w:val="000000"/>
          <w:szCs w:val="20"/>
          <w:lang w:val="fr-FR" w:eastAsia="en-GB"/>
        </w:rPr>
        <w:t>la Commission accepte tous les amendements.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6D"/>
    <w:rsid w:val="005762E3"/>
    <w:rsid w:val="008765BE"/>
    <w:rsid w:val="00CA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D7692-12E4-46B4-9733-C67E501D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>European Parliament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2024-08-09T09:23:00Z</dcterms:created>
  <dcterms:modified xsi:type="dcterms:W3CDTF">2024-08-09T09:23:00Z</dcterms:modified>
</cp:coreProperties>
</file>