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775" w:rsidRPr="00D07775" w:rsidRDefault="00D07775" w:rsidP="00D07775">
      <w:pPr>
        <w:spacing w:after="240"/>
        <w:jc w:val="center"/>
        <w:rPr>
          <w:rFonts w:eastAsia="Times New Roman"/>
          <w:szCs w:val="20"/>
          <w:lang w:val="fr-FR" w:eastAsia="en-GB"/>
        </w:rPr>
      </w:pPr>
      <w:bookmarkStart w:id="0" w:name="_GoBack"/>
      <w:bookmarkEnd w:id="0"/>
      <w:r w:rsidRPr="00D07775">
        <w:rPr>
          <w:rFonts w:eastAsia="Times New Roman"/>
          <w:b/>
          <w:szCs w:val="20"/>
          <w:lang w:val="fr-FR" w:eastAsia="en-GB"/>
        </w:rPr>
        <w:t>Procédure LÉGISLATIVE ORDINAIRE</w:t>
      </w:r>
    </w:p>
    <w:p w:rsidR="00D07775" w:rsidRPr="00D07775" w:rsidRDefault="00D07775" w:rsidP="00D07775">
      <w:pPr>
        <w:spacing w:after="600"/>
        <w:jc w:val="center"/>
        <w:rPr>
          <w:rFonts w:eastAsia="Times New Roman"/>
          <w:b/>
          <w:bCs/>
          <w:lang w:val="fr-FR" w:eastAsia="en-GB"/>
        </w:rPr>
      </w:pPr>
      <w:bookmarkStart w:id="1" w:name="Crimenv"/>
      <w:r w:rsidRPr="00D07775">
        <w:rPr>
          <w:rFonts w:eastAsia="Times New Roman"/>
          <w:b/>
          <w:szCs w:val="20"/>
          <w:lang w:val="fr-FR" w:eastAsia="en-GB"/>
        </w:rPr>
        <w:t>Suite donnée à la résolution législative du Parlement européen sur la proposition de directive du Parlement européen et du Conseil relative à la protection de l'environnement par le droit pénal et remplaçant la directive 2008/99/CE</w:t>
      </w:r>
      <w:bookmarkEnd w:id="1"/>
    </w:p>
    <w:p w:rsidR="00D07775" w:rsidRPr="00D07775" w:rsidRDefault="00D07775" w:rsidP="00D07775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D07775">
        <w:rPr>
          <w:rFonts w:eastAsia="Times New Roman"/>
          <w:b/>
          <w:szCs w:val="20"/>
          <w:lang w:val="fr-FR" w:eastAsia="en-GB"/>
        </w:rPr>
        <w:t>1.</w:t>
      </w:r>
      <w:r w:rsidRPr="00D07775">
        <w:rPr>
          <w:rFonts w:eastAsia="Times New Roman"/>
          <w:b/>
          <w:szCs w:val="20"/>
          <w:lang w:val="fr-FR" w:eastAsia="en-GB"/>
        </w:rPr>
        <w:tab/>
        <w:t xml:space="preserve">Rapporteur(e)(s): </w:t>
      </w:r>
      <w:r w:rsidRPr="00D07775">
        <w:rPr>
          <w:rFonts w:eastAsia="Times New Roman"/>
          <w:szCs w:val="20"/>
          <w:lang w:val="fr-FR" w:eastAsia="en-GB"/>
        </w:rPr>
        <w:t>Antonius MANDERS (PPE/NL)</w:t>
      </w:r>
    </w:p>
    <w:p w:rsidR="00D07775" w:rsidRPr="00D07775" w:rsidRDefault="00D07775" w:rsidP="00D07775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D07775">
        <w:rPr>
          <w:rFonts w:eastAsia="Times New Roman"/>
          <w:b/>
          <w:szCs w:val="20"/>
          <w:lang w:val="fr-FR" w:eastAsia="en-GB"/>
        </w:rPr>
        <w:t>2.</w:t>
      </w:r>
      <w:r w:rsidRPr="00D07775">
        <w:rPr>
          <w:rFonts w:eastAsia="Times New Roman"/>
          <w:b/>
          <w:szCs w:val="20"/>
          <w:lang w:val="fr-FR" w:eastAsia="en-GB"/>
        </w:rPr>
        <w:tab/>
        <w:t>Numéros de référence:</w:t>
      </w:r>
      <w:r w:rsidRPr="00D07775">
        <w:rPr>
          <w:rFonts w:eastAsia="Times New Roman"/>
          <w:szCs w:val="20"/>
          <w:lang w:val="fr-FR" w:eastAsia="en-GB"/>
        </w:rPr>
        <w:t xml:space="preserve"> 2021/0422 (COD) / A9-0087/2023 / P9_TA(2024)0093</w:t>
      </w:r>
    </w:p>
    <w:p w:rsidR="00D07775" w:rsidRPr="00D07775" w:rsidRDefault="00D07775" w:rsidP="00D07775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D07775">
        <w:rPr>
          <w:rFonts w:eastAsia="Times New Roman"/>
          <w:b/>
          <w:szCs w:val="20"/>
          <w:lang w:val="fr-FR" w:eastAsia="en-GB"/>
        </w:rPr>
        <w:t>3.</w:t>
      </w:r>
      <w:r w:rsidRPr="00D07775">
        <w:rPr>
          <w:rFonts w:eastAsia="Times New Roman"/>
          <w:b/>
          <w:szCs w:val="20"/>
          <w:lang w:val="fr-FR" w:eastAsia="en-GB"/>
        </w:rPr>
        <w:tab/>
        <w:t xml:space="preserve">Date d'adoption de la résolution: </w:t>
      </w:r>
      <w:r w:rsidRPr="00D07775">
        <w:rPr>
          <w:rFonts w:eastAsia="Times New Roman"/>
          <w:szCs w:val="20"/>
          <w:lang w:val="fr-FR" w:eastAsia="en-GB"/>
        </w:rPr>
        <w:t>27 février 2024</w:t>
      </w:r>
    </w:p>
    <w:p w:rsidR="00D07775" w:rsidRPr="00D07775" w:rsidRDefault="00D07775" w:rsidP="00D07775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D07775">
        <w:rPr>
          <w:rFonts w:eastAsia="Times New Roman"/>
          <w:b/>
          <w:szCs w:val="20"/>
          <w:lang w:val="fr-FR" w:eastAsia="en-GB"/>
        </w:rPr>
        <w:t>4.</w:t>
      </w:r>
      <w:r w:rsidRPr="00D07775">
        <w:rPr>
          <w:rFonts w:eastAsia="Times New Roman"/>
          <w:b/>
          <w:szCs w:val="20"/>
          <w:lang w:val="fr-FR" w:eastAsia="en-GB"/>
        </w:rPr>
        <w:tab/>
        <w:t xml:space="preserve">Base juridique: </w:t>
      </w:r>
      <w:r w:rsidRPr="00D07775">
        <w:rPr>
          <w:rFonts w:eastAsia="Times New Roman"/>
          <w:szCs w:val="20"/>
          <w:lang w:val="fr-FR" w:eastAsia="en-GB"/>
        </w:rPr>
        <w:t>article 83, paragraphe 2, du traité sur le fonctionnement de l’Union européenne</w:t>
      </w:r>
    </w:p>
    <w:p w:rsidR="00D07775" w:rsidRPr="00D07775" w:rsidRDefault="00D07775" w:rsidP="00D07775">
      <w:pPr>
        <w:spacing w:after="240" w:line="240" w:lineRule="atLeast"/>
        <w:ind w:left="567" w:hanging="567"/>
        <w:rPr>
          <w:rFonts w:eastAsia="Times New Roman"/>
          <w:lang w:val="fr-FR" w:eastAsia="en-GB"/>
        </w:rPr>
      </w:pPr>
      <w:r w:rsidRPr="00D07775">
        <w:rPr>
          <w:rFonts w:eastAsia="Times New Roman"/>
          <w:b/>
          <w:szCs w:val="20"/>
          <w:lang w:val="fr-FR" w:eastAsia="en-GB"/>
        </w:rPr>
        <w:t>5.</w:t>
      </w:r>
      <w:r w:rsidRPr="00D07775">
        <w:rPr>
          <w:rFonts w:eastAsia="Times New Roman"/>
          <w:b/>
          <w:szCs w:val="20"/>
          <w:lang w:val="fr-FR" w:eastAsia="en-GB"/>
        </w:rPr>
        <w:tab/>
        <w:t>Commission parlementaire compétente:</w:t>
      </w:r>
      <w:r w:rsidRPr="00D07775">
        <w:rPr>
          <w:rFonts w:eastAsia="Times New Roman"/>
          <w:szCs w:val="20"/>
          <w:lang w:val="fr-FR" w:eastAsia="en-GB"/>
        </w:rPr>
        <w:t xml:space="preserve"> commission des affaires juridiques (JURI)</w:t>
      </w:r>
    </w:p>
    <w:p w:rsidR="008765BE" w:rsidRDefault="00D07775" w:rsidP="00D07775">
      <w:r w:rsidRPr="00D07775">
        <w:rPr>
          <w:rFonts w:eastAsia="Times New Roman"/>
          <w:b/>
          <w:szCs w:val="20"/>
          <w:lang w:val="fr-FR" w:eastAsia="en-GB"/>
        </w:rPr>
        <w:t>6.</w:t>
      </w:r>
      <w:r w:rsidRPr="00D07775">
        <w:rPr>
          <w:rFonts w:eastAsia="Times New Roman"/>
          <w:b/>
          <w:szCs w:val="20"/>
          <w:lang w:val="fr-FR" w:eastAsia="en-GB"/>
        </w:rPr>
        <w:tab/>
        <w:t>Position de la Commission:</w:t>
      </w:r>
      <w:r w:rsidRPr="00D07775">
        <w:rPr>
          <w:rFonts w:eastAsia="Times New Roman"/>
          <w:color w:val="000000"/>
          <w:sz w:val="22"/>
          <w:szCs w:val="20"/>
          <w:lang w:val="fr-FR" w:eastAsia="en-GB"/>
        </w:rPr>
        <w:t xml:space="preserve"> </w:t>
      </w:r>
      <w:r w:rsidRPr="00D07775">
        <w:rPr>
          <w:rFonts w:eastAsia="Times New Roman"/>
          <w:color w:val="000000"/>
          <w:szCs w:val="20"/>
          <w:lang w:val="fr-FR" w:eastAsia="en-GB"/>
        </w:rPr>
        <w:t>la Commission accepte tous les amendements.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75"/>
    <w:rsid w:val="005762E3"/>
    <w:rsid w:val="008765BE"/>
    <w:rsid w:val="00D0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B4C3F-0382-4890-B60D-04228A7F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>European Parliament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2024-07-09T14:43:00Z</dcterms:created>
  <dcterms:modified xsi:type="dcterms:W3CDTF">2024-07-09T14:43:00Z</dcterms:modified>
</cp:coreProperties>
</file>