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>
            <w:pPr>
              <w:pStyle w:val="EPName"/>
            </w:pPr>
            <w:r>
              <w:t>Európsky parlament</w:t>
            </w:r>
          </w:p>
          <w:p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>
              <w:t>2019-2024</w:t>
            </w:r>
          </w:p>
        </w:tc>
        <w:tc>
          <w:tcPr>
            <w:tcW w:w="2268" w:type="dxa"/>
            <w:shd w:val="clear" w:color="auto" w:fill="auto"/>
          </w:tcPr>
          <w:p>
            <w:pPr>
              <w:pStyle w:val="EPLogo"/>
            </w:pPr>
            <w:r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LineTop"/>
      </w:pPr>
    </w:p>
    <w:p>
      <w:pPr>
        <w:pStyle w:val="EPBodyTA1"/>
      </w:pPr>
      <w:r>
        <w:t>PRIJATÉ TEXTY</w:t>
      </w:r>
    </w:p>
    <w:p>
      <w:pPr>
        <w:pStyle w:val="LineBottom"/>
      </w:pPr>
    </w:p>
    <w:p>
      <w:pPr>
        <w:pStyle w:val="ATHeading1"/>
      </w:pPr>
      <w:bookmarkStart w:id="0" w:name="TANumber"/>
      <w:r>
        <w:t>P9_TA(2024)0343</w:t>
      </w:r>
      <w:bookmarkEnd w:id="0"/>
    </w:p>
    <w:p>
      <w:pPr>
        <w:pStyle w:val="ATHeading2"/>
      </w:pPr>
      <w:bookmarkStart w:id="1" w:name="title"/>
      <w:r>
        <w:t>Zriadenie Nástroja na podporu reforiem a rastu pre západný Balkán</w:t>
      </w:r>
      <w:bookmarkEnd w:id="1"/>
    </w:p>
    <w:p>
      <w:pPr>
        <w:rPr>
          <w:i/>
          <w:vanish/>
        </w:rPr>
      </w:pPr>
      <w:r>
        <w:rPr>
          <w:i/>
        </w:rPr>
        <w:fldChar w:fldCharType="begin"/>
      </w:r>
      <w:r>
        <w:rPr>
          <w:i/>
        </w:rPr>
        <w:instrText xml:space="preserve"> TC"(</w:instrText>
      </w:r>
      <w:bookmarkStart w:id="2" w:name="DocNumber"/>
      <w:r>
        <w:rPr>
          <w:i/>
        </w:rPr>
        <w:instrText>A9-0085/2024</w:instrText>
      </w:r>
      <w:bookmarkEnd w:id="2"/>
      <w:r>
        <w:rPr>
          <w:i/>
        </w:rPr>
        <w:instrText xml:space="preserve"> - Spravodajcovia: Tonino Picula, Karlo Ressler)"\l3 \n&gt; \* MERGEFORMAT </w:instrText>
      </w:r>
      <w:r>
        <w:rPr>
          <w:i/>
        </w:rPr>
        <w:fldChar w:fldCharType="end"/>
      </w:r>
    </w:p>
    <w:p>
      <w:pPr>
        <w:rPr>
          <w:vanish/>
        </w:rPr>
      </w:pPr>
      <w:bookmarkStart w:id="3" w:name="Commission"/>
      <w:r>
        <w:rPr>
          <w:vanish/>
        </w:rPr>
        <w:t>Výbor pre zahraničné veci, Výbor pre rozpočet</w:t>
      </w:r>
    </w:p>
    <w:p>
      <w:pPr>
        <w:rPr>
          <w:vanish/>
        </w:rPr>
      </w:pPr>
      <w:bookmarkStart w:id="4" w:name="PE"/>
      <w:r>
        <w:rPr>
          <w:vanish/>
        </w:rPr>
        <w:t>PE758.888</w:t>
      </w:r>
      <w:bookmarkEnd w:id="4"/>
    </w:p>
    <w:p>
      <w:pPr>
        <w:pStyle w:val="ATHeading3"/>
      </w:pPr>
      <w:bookmarkStart w:id="5" w:name="Sujet"/>
      <w:r>
        <w:t>Legislatívne uznesenie Európskeho parlamentu z 24. apríla 2024 o návrhu nariadenia Európskeho parlamentu a Rady, ktorým sa zriaďuje Nástroj na podporu reforiem a rastu pre západný Balkán</w:t>
      </w:r>
      <w:bookmarkEnd w:id="5"/>
      <w:r>
        <w:t xml:space="preserve"> </w:t>
      </w:r>
      <w:bookmarkStart w:id="6" w:name="References"/>
      <w:r>
        <w:t>(COM(2023)0692 – C9-0408/2023 – 2023/0397(COD))</w:t>
      </w:r>
      <w:bookmarkEnd w:id="6"/>
    </w:p>
    <w:p/>
    <w:p>
      <w:pPr>
        <w:pStyle w:val="NormalBold"/>
      </w:pPr>
      <w:bookmarkStart w:id="7" w:name="TextBodyBegin"/>
      <w:bookmarkEnd w:id="3"/>
      <w:bookmarkEnd w:id="7"/>
      <w:r>
        <w:t>(Riadny legislatívny postup: prvé čítanie)</w:t>
      </w:r>
    </w:p>
    <w:p>
      <w:pPr>
        <w:pStyle w:val="EPComma"/>
      </w:pPr>
      <w:r>
        <w:rPr>
          <w:i/>
        </w:rPr>
        <w:t>Európsky parlament</w:t>
      </w:r>
      <w:r>
        <w:t>,</w:t>
      </w:r>
    </w:p>
    <w:p>
      <w:pPr>
        <w:pStyle w:val="NormalHanging12a"/>
      </w:pPr>
      <w:r>
        <w:t>–</w:t>
      </w:r>
      <w:r>
        <w:tab/>
        <w:t>so zreteľom na návrh Komisie pre Európsky parlament a Radu (COM(2023)0692),</w:t>
      </w:r>
    </w:p>
    <w:p>
      <w:pPr>
        <w:pStyle w:val="NormalHanging12a"/>
      </w:pPr>
      <w:r>
        <w:t>–</w:t>
      </w:r>
      <w:r>
        <w:tab/>
        <w:t>so zreteľom na článok 294 ods. 2, článok 212 a článok 322 ods. 1 Zmluvy o fungovaní Európskej únie, v súlade s ktorými Komisia predložila návrh Európskemu parlamentu (C9</w:t>
      </w:r>
      <w:r>
        <w:noBreakHyphen/>
        <w:t>0408/2023),</w:t>
      </w:r>
    </w:p>
    <w:p>
      <w:pPr>
        <w:pStyle w:val="NormalHanging12a"/>
      </w:pPr>
      <w:r>
        <w:t>–</w:t>
      </w:r>
      <w:r>
        <w:tab/>
        <w:t>so zreteľom na článok 294 ods. 3 Zmluvy o fungovaní Európskej únie,</w:t>
      </w:r>
    </w:p>
    <w:p>
      <w:pPr>
        <w:pStyle w:val="NormalHanging12a"/>
      </w:pPr>
      <w:r>
        <w:t>–</w:t>
      </w:r>
      <w:r>
        <w:tab/>
        <w:t>so zreteľom na stanovisko Dvora audítorov zo 30. januára 2024</w:t>
      </w:r>
      <w:r>
        <w:rPr>
          <w:rStyle w:val="FootnoteReference"/>
        </w:rPr>
        <w:footnoteReference w:id="1"/>
      </w:r>
      <w:r>
        <w:t>,</w:t>
      </w:r>
    </w:p>
    <w:p>
      <w:pPr>
        <w:pStyle w:val="NormalHanging12a"/>
      </w:pPr>
      <w:r>
        <w:t>–</w:t>
      </w:r>
      <w:r>
        <w:tab/>
        <w:t>so zreteľom na predbežnú dohodu schválenú gestorskými výbormi podľa článku 74 ods. 4 rokovacieho poriadku, a na záväzok zástupcu Rady, vyjadrený v liste z 8. apríla 2024, schváliť pozíciu Európskeho parlamentu v súlade s článkom 294 ods. 4 Zmluvy o fungovaní Európskej únie,</w:t>
      </w:r>
    </w:p>
    <w:p>
      <w:pPr>
        <w:pStyle w:val="NormalHanging12a"/>
      </w:pPr>
      <w:r>
        <w:t>–</w:t>
      </w:r>
      <w:r>
        <w:tab/>
        <w:t>so zreteľom na článok 59 rokovacieho poriadku,</w:t>
      </w:r>
    </w:p>
    <w:p>
      <w:pPr>
        <w:pStyle w:val="NormalHanging12a"/>
      </w:pPr>
      <w:r>
        <w:t>–</w:t>
      </w:r>
      <w:r>
        <w:tab/>
        <w:t>so zreteľom na spoločné rokovania Výboru pre zahraničné veci a Výboru pre rozpočet podľa článku 58 rokovacieho poriadku,</w:t>
      </w:r>
    </w:p>
    <w:p>
      <w:pPr>
        <w:pStyle w:val="NormalHanging12a"/>
      </w:pPr>
      <w:r>
        <w:t>–</w:t>
      </w:r>
      <w:r>
        <w:tab/>
        <w:t>so zreteľom na stanoviská Výboru pre medzinárodný obchod a Výboru pre regionálny rozvoj,</w:t>
      </w:r>
    </w:p>
    <w:p>
      <w:pPr>
        <w:pStyle w:val="NormalHanging12a"/>
      </w:pPr>
      <w:r>
        <w:lastRenderedPageBreak/>
        <w:t>–</w:t>
      </w:r>
      <w:r>
        <w:tab/>
        <w:t>so zreteľom na list Výboru pre kontrolu rozpočtu,</w:t>
      </w:r>
    </w:p>
    <w:p>
      <w:pPr>
        <w:pStyle w:val="NormalHanging12a"/>
      </w:pPr>
      <w:r>
        <w:t>–</w:t>
      </w:r>
      <w:r>
        <w:tab/>
        <w:t>so zreteľom na správu Výboru pre zahraničné veci a Výboru pre rozpočet (A9-0085/2024),</w:t>
      </w:r>
    </w:p>
    <w:p>
      <w:pPr>
        <w:pStyle w:val="NormalHanging12a"/>
      </w:pPr>
      <w:r>
        <w:t>1.</w:t>
      </w:r>
      <w:r>
        <w:tab/>
        <w:t>prijíma nasledujúcu pozíciu v prvom čítaní;</w:t>
      </w:r>
    </w:p>
    <w:p>
      <w:pPr>
        <w:pStyle w:val="NormalHanging12a"/>
      </w:pPr>
      <w:r>
        <w:t>2.</w:t>
      </w:r>
      <w:r>
        <w:tab/>
        <w:t xml:space="preserve">schvaľuje spoločné vyhlásenie Európskeho parlamentu a Rady, ktoré je uvedené v prílohe k tomuto uzneseniu a ktoré bude uverejnené v sérii C </w:t>
      </w:r>
      <w:r>
        <w:rPr>
          <w:i/>
        </w:rPr>
        <w:t>Úradného vestníka Európskej únie</w:t>
      </w:r>
      <w:r>
        <w:t>;</w:t>
      </w:r>
    </w:p>
    <w:p>
      <w:pPr>
        <w:pStyle w:val="NormalHanging12a"/>
      </w:pPr>
      <w:r>
        <w:t>3.</w:t>
      </w:r>
      <w:r>
        <w:tab/>
        <w:t>žiada Komisiu, aby mu vec znovu predložila, ak nahrádza, podstatne mení alebo má v úmysle podstatne zmeniť svoj návrh;</w:t>
      </w:r>
    </w:p>
    <w:p>
      <w:pPr>
        <w:pStyle w:val="NormalHanging12a"/>
      </w:pPr>
      <w:r>
        <w:t>4.</w:t>
      </w:r>
      <w:r>
        <w:tab/>
        <w:t>poveruje svoju predsedníčku, aby postúpila túto pozíciu Rade, Komisii a národným parlamentom.</w:t>
      </w:r>
    </w:p>
    <w:p>
      <w:pPr>
        <w:sectPr>
          <w:footerReference w:type="even" r:id="rId9"/>
          <w:footerReference w:type="first" r:id="rId10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>
      <w:pPr>
        <w:pStyle w:val="Institutionquiagit"/>
        <w:keepNext w:val="0"/>
        <w:spacing w:before="0" w:after="240"/>
        <w:jc w:val="left"/>
        <w:outlineLvl w:val="0"/>
        <w:rPr>
          <w:b/>
        </w:rPr>
      </w:pPr>
      <w:r>
        <w:rPr>
          <w:b/>
        </w:rPr>
        <w:lastRenderedPageBreak/>
        <w:t>P9_TC1-COD(2023)0397</w:t>
      </w:r>
    </w:p>
    <w:p>
      <w:pPr>
        <w:rPr>
          <w:b/>
        </w:rPr>
      </w:pPr>
      <w:r>
        <w:rPr>
          <w:b/>
        </w:rPr>
        <w:t>Pozícia Európskeho parlamentu prijatá v prvom čítaní 24. apríla 2024 na účely prijatia nariadenia Európskeho parlamentu a Rady (EÚ) 2024/... o zriadení Nástroja na podporu reforiem a rastu pre západný Balkán</w:t>
      </w:r>
    </w:p>
    <w:p>
      <w:pPr>
        <w:spacing w:before="480"/>
      </w:pPr>
      <w:r>
        <w:rPr>
          <w:i/>
          <w:iCs/>
        </w:rPr>
        <w:t xml:space="preserve">(Keďže bola dosiahnutá dohoda medzi Európskym parlamentom a Radou, pozícia Európskeho parlamentu zodpovedá záverečnému legislatívnemu aktu, nariadeniu </w:t>
      </w:r>
      <w:r>
        <w:rPr>
          <w:i/>
          <w:iCs/>
        </w:rPr>
        <w:t>(EÚ) 2024/1449</w:t>
      </w:r>
      <w:bookmarkStart w:id="8" w:name="_GoBack"/>
      <w:bookmarkEnd w:id="8"/>
      <w:r>
        <w:rPr>
          <w:i/>
          <w:iCs/>
        </w:rPr>
        <w:t>.)</w:t>
      </w:r>
    </w:p>
    <w:p>
      <w:pPr>
        <w:widowControl/>
        <w:tabs>
          <w:tab w:val="left" w:pos="5669"/>
        </w:tabs>
        <w:spacing w:line="360" w:lineRule="auto"/>
        <w:rPr>
          <w:rFonts w:eastAsiaTheme="minorHAnsi"/>
          <w:i/>
          <w:szCs w:val="22"/>
          <w:lang w:eastAsia="en-US"/>
        </w:rPr>
      </w:pPr>
    </w:p>
    <w:p>
      <w:pPr>
        <w:widowControl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br w:type="page"/>
      </w:r>
    </w:p>
    <w:p>
      <w:pPr>
        <w:widowControl/>
        <w:spacing w:before="120" w:after="120" w:line="360" w:lineRule="auto"/>
        <w:jc w:val="right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lastRenderedPageBreak/>
        <w:t>PRÍLOHA K LEGISLATÍVNEMU UZNESENIU</w:t>
      </w:r>
    </w:p>
    <w:p>
      <w:pPr>
        <w:widowControl/>
        <w:spacing w:before="120" w:after="120" w:line="360" w:lineRule="auto"/>
        <w:jc w:val="center"/>
        <w:rPr>
          <w:rFonts w:eastAsia="Calibri"/>
          <w:b/>
          <w:bCs/>
          <w:szCs w:val="24"/>
          <w:lang w:eastAsia="en-US"/>
        </w:rPr>
      </w:pPr>
      <w:r>
        <w:rPr>
          <w:rFonts w:eastAsia="Calibri"/>
          <w:b/>
          <w:szCs w:val="22"/>
          <w:lang w:eastAsia="en-US"/>
        </w:rPr>
        <w:t>Spoločné vyhlásenie Európskeho parlamentu a Rady o vhodnej rozpočtovej nomenklatúre pre Nástroj pre západný Balkán</w:t>
      </w:r>
    </w:p>
    <w:p>
      <w:pPr>
        <w:pStyle w:val="Normal12a"/>
        <w:spacing w:line="360" w:lineRule="auto"/>
      </w:pPr>
      <w:r>
        <w:rPr>
          <w:rFonts w:eastAsia="Calibri"/>
          <w:szCs w:val="22"/>
          <w:lang w:eastAsia="en-US"/>
        </w:rPr>
        <w:t>Európsky parlament a Rada berú na vedomie vyhlásenie Európskej komisie o podávaní správ. Bez toho, aby boli dotknuté právomoci rozpočtového orgánu podľa zmlúv, Európsky parlament a Rada majú v úmysle preskúmať nomenklatúru nástroja, napríklad pokiaľ ide o rozpočtové prostriedky na prijímateľa, s cieľom zabezpečiť primeranú politickú a rozpočtovú kontrolu. Európsky parlament a Rada vyzývajú Európsku komisiu, aby v príslušných prípadoch toto vyhlásenie náležite zvážila pri príprave návrhu rozpočtu na rok 2025.</w:t>
      </w:r>
    </w:p>
    <w:p>
      <w:pPr>
        <w:widowControl/>
        <w:spacing w:before="120" w:after="120" w:line="360" w:lineRule="auto"/>
        <w:jc w:val="right"/>
        <w:rPr>
          <w:rFonts w:eastAsiaTheme="minorHAnsi"/>
          <w:szCs w:val="22"/>
          <w:lang w:eastAsia="en-US"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EPFooter"/>
    </w:pPr>
    <w:r>
      <w:t>PE</w:t>
    </w:r>
    <w:r>
      <w:rPr>
        <w:rStyle w:val="HideTWBExt"/>
      </w:rPr>
      <w:t>&lt;NoPE&gt;</w:t>
    </w:r>
    <w:r>
      <w:t>758.888</w:t>
    </w:r>
    <w:r>
      <w:rPr>
        <w:rStyle w:val="HideTWBExt"/>
      </w:rPr>
      <w:t>&lt;/NoPE&gt;&lt;Version&gt;</w:t>
    </w:r>
    <w:r>
      <w:t>v02-00</w:t>
    </w:r>
    <w:r>
      <w:rPr>
        <w:rStyle w:val="HideTWBExt"/>
      </w:rPr>
      <w:t>&lt;/Version&gt;</w:t>
    </w:r>
    <w: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66</w:t>
    </w:r>
    <w:r>
      <w:fldChar w:fldCharType="end"/>
    </w:r>
    <w:r>
      <w:t>/</w:t>
    </w:r>
    <w:fldSimple w:instr=" NUMPAGES  \* MERGEFORMAT ">
      <w:r>
        <w:rPr>
          <w:noProof/>
        </w:rPr>
        <w:t>66</w:t>
      </w:r>
    </w:fldSimple>
    <w:r>
      <w:tab/>
    </w:r>
    <w:r>
      <w:rPr>
        <w:rStyle w:val="HideTWBExt"/>
      </w:rPr>
      <w:t>&lt;PathFdR&gt;</w:t>
    </w:r>
    <w:r>
      <w:t>RR\1298689SK.docx</w:t>
    </w:r>
    <w:r>
      <w:rPr>
        <w:rStyle w:val="HideTWBExt"/>
      </w:rPr>
      <w:t>&lt;/PathFdR&gt;</w:t>
    </w:r>
  </w:p>
  <w:p>
    <w:pPr>
      <w:pStyle w:val="EPFooter2"/>
    </w:pPr>
    <w:r>
      <w:t>SK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EPFooter"/>
    </w:pPr>
    <w:r>
      <w:rPr>
        <w:rStyle w:val="HideTWBExt"/>
      </w:rPr>
      <w:t>&lt;PathFdR&gt;</w:t>
    </w:r>
    <w:r>
      <w:t>RR\1298689SK.docx</w:t>
    </w:r>
    <w:r>
      <w:rPr>
        <w:rStyle w:val="HideTWBExt"/>
      </w:rPr>
      <w:t>&lt;/PathFdR&gt;</w:t>
    </w:r>
    <w:r>
      <w:tab/>
    </w:r>
    <w:r>
      <w:tab/>
      <w:t>PE</w:t>
    </w:r>
    <w:r>
      <w:rPr>
        <w:rStyle w:val="HideTWBExt"/>
      </w:rPr>
      <w:t>&lt;NoPE&gt;</w:t>
    </w:r>
    <w:r>
      <w:t>758.888</w:t>
    </w:r>
    <w:r>
      <w:rPr>
        <w:rStyle w:val="HideTWBExt"/>
      </w:rPr>
      <w:t>&lt;/NoPE&gt;&lt;Version&gt;</w:t>
    </w:r>
    <w:r>
      <w:t>v02-00</w:t>
    </w:r>
    <w:r>
      <w:rPr>
        <w:rStyle w:val="HideTWBExt"/>
      </w:rPr>
      <w:t>&lt;/Version&gt;</w:t>
    </w:r>
  </w:p>
  <w:p>
    <w:pPr>
      <w:pStyle w:val="EPFooter2"/>
    </w:pPr>
    <w:r>
      <w:t>SK</w:t>
    </w:r>
    <w:r>
      <w:tab/>
    </w:r>
    <w:r>
      <w:rPr>
        <w:b w:val="0"/>
        <w:i/>
        <w:color w:val="C0C0C0"/>
        <w:sz w:val="22"/>
      </w:rPr>
      <w:t>Zjednotení v rozmanitosti</w:t>
    </w:r>
    <w:r>
      <w:tab/>
      <w:t>SK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id="1">
    <w:p>
      <w:pPr>
        <w:pStyle w:val="FootnoteText"/>
        <w:ind w:left="567" w:hanging="567"/>
        <w:rPr>
          <w:sz w:val="24"/>
          <w:szCs w:val="24"/>
          <w:lang w:val="sk-SK"/>
        </w:rPr>
      </w:pPr>
      <w:r>
        <w:rPr>
          <w:rStyle w:val="FootnoteReference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sk-SK"/>
        </w:rPr>
        <w:tab/>
        <w:t>Zatiaľ neuverejnené v úradnom vestníku.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85/2024"/>
    <w:docVar w:name="dvlangue" w:val="SK"/>
    <w:docVar w:name="dvnumam" w:val="93"/>
    <w:docVar w:name="dvpe" w:val="758.888"/>
    <w:docVar w:name="dvrapporteur" w:val="Spravodajcovia: "/>
    <w:docVar w:name="dvstar" w:val="***I"/>
    <w:docVar w:name="dvtitre" w:val="Legislatívne uznesenie Európskeho parlamentu z xx. apríla 2024 o návrhu nariadenia Európskeho parlamentu a Rady, ktorým sa zriaďuje Nástroj na podporu reforiem a rastu pre západný Balkán(COM(2023)0692 – C9-0408/2023 – 2023/0397(COD))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E04BC-5A8F-429D-A537-720014359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Pr>
      <w:sz w:val="22"/>
      <w:lang w:val="fr-FR" w:eastAsia="fr-FR"/>
    </w:rPr>
  </w:style>
  <w:style w:type="character" w:styleId="PageNumber">
    <w:name w:val="page number"/>
  </w:style>
  <w:style w:type="paragraph" w:styleId="TOC2">
    <w:name w:val="toc 2"/>
    <w:basedOn w:val="Normal"/>
    <w:next w:val="Normal"/>
    <w:autoRedefine/>
    <w:uiPriority w:val="39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i/>
      <w:sz w:val="22"/>
      <w:lang w:val="sk-SK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="Arial" w:hAnsi="Arial"/>
      <w:sz w:val="24"/>
      <w:lang w:val="sk-SK"/>
    </w:rPr>
  </w:style>
  <w:style w:type="character" w:customStyle="1" w:styleId="Heading8Char">
    <w:name w:val="Heading 8 Char"/>
    <w:basedOn w:val="DefaultParagraphFont"/>
    <w:link w:val="Heading8"/>
    <w:semiHidden/>
    <w:rPr>
      <w:rFonts w:ascii="Arial" w:hAnsi="Arial"/>
      <w:i/>
      <w:sz w:val="24"/>
      <w:lang w:val="sk-SK"/>
    </w:rPr>
  </w:style>
  <w:style w:type="character" w:customStyle="1" w:styleId="Heading9Char">
    <w:name w:val="Heading 9 Char"/>
    <w:basedOn w:val="DefaultParagraphFont"/>
    <w:link w:val="Heading9"/>
    <w:semiHidden/>
    <w:rPr>
      <w:rFonts w:ascii="Arial" w:hAnsi="Arial"/>
      <w:b/>
      <w:i/>
      <w:sz w:val="18"/>
      <w:lang w:val="sk-SK"/>
    </w:rPr>
  </w:style>
  <w:style w:type="paragraph" w:styleId="TOCHeading">
    <w:name w:val="TOC Heading"/>
    <w:basedOn w:val="Normal"/>
    <w:next w:val="Normal"/>
    <w:uiPriority w:val="39"/>
    <w:unhideWhenUsed/>
    <w:qFormat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pPr>
      <w:spacing w:after="120"/>
    </w:pPr>
  </w:style>
  <w:style w:type="paragraph" w:customStyle="1" w:styleId="PageHeading">
    <w:name w:val="PageHeading"/>
    <w:basedOn w:val="Normal"/>
    <w:link w:val="PageHeadingChar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Pr>
      <w:b/>
    </w:rPr>
  </w:style>
  <w:style w:type="paragraph" w:customStyle="1" w:styleId="NormalBold12a">
    <w:name w:val="NormalBold12a"/>
    <w:basedOn w:val="Normal"/>
    <w:pPr>
      <w:spacing w:after="240"/>
    </w:pPr>
    <w:rPr>
      <w:b/>
    </w:rPr>
  </w:style>
  <w:style w:type="paragraph" w:customStyle="1" w:styleId="AmJustText">
    <w:name w:val="AmJustText"/>
    <w:basedOn w:val="Normal"/>
    <w:pPr>
      <w:spacing w:after="240"/>
    </w:pPr>
    <w:rPr>
      <w:i/>
    </w:rPr>
  </w:style>
  <w:style w:type="paragraph" w:customStyle="1" w:styleId="NormalHanging12a">
    <w:name w:val="NormalHanging12a"/>
    <w:basedOn w:val="Normal"/>
    <w:pPr>
      <w:spacing w:after="240"/>
      <w:ind w:left="567" w:hanging="567"/>
    </w:pPr>
  </w:style>
  <w:style w:type="paragraph" w:customStyle="1" w:styleId="CoverNormal24a">
    <w:name w:val="CoverNormal24a"/>
    <w:basedOn w:val="Normal"/>
    <w:pPr>
      <w:spacing w:after="480"/>
      <w:ind w:left="1417"/>
    </w:pPr>
  </w:style>
  <w:style w:type="paragraph" w:customStyle="1" w:styleId="CoverNormal">
    <w:name w:val="CoverNormal"/>
    <w:basedOn w:val="Normal"/>
    <w:pPr>
      <w:ind w:left="1418"/>
    </w:pPr>
  </w:style>
  <w:style w:type="paragraph" w:customStyle="1" w:styleId="AmCrossRef">
    <w:name w:val="AmCrossRef"/>
    <w:basedOn w:val="Normal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pPr>
      <w:spacing w:before="240" w:after="1200"/>
    </w:p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 w:val="24"/>
      <w:lang w:val="sk-SK"/>
    </w:rPr>
  </w:style>
  <w:style w:type="paragraph" w:customStyle="1" w:styleId="AmOrLang">
    <w:name w:val="AmOrLang"/>
    <w:basedOn w:val="Normal"/>
    <w:pPr>
      <w:spacing w:before="240" w:after="240"/>
      <w:jc w:val="right"/>
    </w:pPr>
  </w:style>
  <w:style w:type="paragraph" w:customStyle="1" w:styleId="AmColumnHeading">
    <w:name w:val="AmColumnHeading"/>
    <w:basedOn w:val="Normal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pPr>
      <w:spacing w:before="240"/>
    </w:pPr>
    <w:rPr>
      <w:b/>
    </w:rPr>
  </w:style>
  <w:style w:type="paragraph" w:customStyle="1" w:styleId="EPBody">
    <w:name w:val="EPBody"/>
    <w:basedOn w:val="Normal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pPr>
      <w:spacing w:before="480" w:after="240"/>
    </w:pPr>
  </w:style>
  <w:style w:type="paragraph" w:customStyle="1" w:styleId="Lgendesigne">
    <w:name w:val="Légende signe"/>
    <w:basedOn w:val="Normal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Pr>
      <w:sz w:val="18"/>
    </w:rPr>
  </w:style>
  <w:style w:type="paragraph" w:customStyle="1" w:styleId="EntPE">
    <w:name w:val="EntPE"/>
    <w:basedOn w:val="Normal12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pPr>
      <w:spacing w:after="240"/>
    </w:pPr>
    <w:rPr>
      <w:noProof/>
    </w:rPr>
  </w:style>
  <w:style w:type="paragraph" w:customStyle="1" w:styleId="CommitteeAM">
    <w:name w:val="CommitteeAM"/>
    <w:basedOn w:val="Normal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Pr>
      <w:noProof/>
      <w:sz w:val="24"/>
      <w:lang w:val="sk-SK"/>
    </w:rPr>
  </w:style>
  <w:style w:type="paragraph" w:customStyle="1" w:styleId="PELeft">
    <w:name w:val="PELeft"/>
    <w:basedOn w:val="Normal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pPr>
      <w:spacing w:after="120"/>
    </w:pPr>
  </w:style>
  <w:style w:type="paragraph" w:customStyle="1" w:styleId="Normal12Italic">
    <w:name w:val="Normal12Italic"/>
    <w:basedOn w:val="Normal12"/>
    <w:rPr>
      <w:i/>
    </w:rPr>
  </w:style>
  <w:style w:type="character" w:customStyle="1" w:styleId="NormalBoldChar">
    <w:name w:val="NormalBold Char"/>
    <w:basedOn w:val="DefaultParagraphFont"/>
    <w:link w:val="NormalBold"/>
    <w:rPr>
      <w:b/>
      <w:sz w:val="24"/>
      <w:lang w:val="sk-SK"/>
    </w:rPr>
  </w:style>
  <w:style w:type="paragraph" w:customStyle="1" w:styleId="JustificationTitle">
    <w:name w:val="JustificationTitle"/>
    <w:basedOn w:val="Normal"/>
    <w:next w:val="Normal12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pPr>
      <w:spacing w:before="240" w:after="240"/>
      <w:jc w:val="right"/>
    </w:pPr>
    <w:rPr>
      <w:noProof/>
      <w:szCs w:val="24"/>
    </w:rPr>
  </w:style>
  <w:style w:type="character" w:customStyle="1" w:styleId="Normal6Char">
    <w:name w:val="Normal6 Char"/>
    <w:basedOn w:val="DefaultParagraphFont"/>
    <w:link w:val="Normal6"/>
    <w:rPr>
      <w:sz w:val="24"/>
      <w:lang w:val="sk-SK"/>
    </w:rPr>
  </w:style>
  <w:style w:type="paragraph" w:customStyle="1" w:styleId="ColumnHeading">
    <w:name w:val="ColumnHeading"/>
    <w:basedOn w:val="Normal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pPr>
      <w:spacing w:before="240"/>
      <w:jc w:val="center"/>
    </w:pPr>
    <w:rPr>
      <w:i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 w:val="24"/>
      <w:lang w:val="sk-SK"/>
    </w:rPr>
  </w:style>
  <w:style w:type="character" w:customStyle="1" w:styleId="Footer2Middle">
    <w:name w:val="Footer2Middle"/>
    <w:rPr>
      <w:rFonts w:ascii="Arial" w:cs="Arial"/>
      <w:b w:val="0"/>
      <w:i/>
      <w:color w:val="C0C0C0"/>
      <w:sz w:val="22"/>
    </w:r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  <w:lang w:val="sk-SK"/>
    </w:rPr>
  </w:style>
  <w:style w:type="paragraph" w:styleId="BalloonText">
    <w:name w:val="Balloon Text"/>
    <w:basedOn w:val="Normal"/>
    <w:link w:val="BalloonTextChar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Segoe UI" w:hAnsi="Segoe UI" w:cs="Segoe UI"/>
      <w:sz w:val="18"/>
      <w:szCs w:val="18"/>
      <w:lang w:val="sk-SK"/>
    </w:rPr>
  </w:style>
  <w:style w:type="paragraph" w:customStyle="1" w:styleId="NormalCenter12a">
    <w:name w:val="NormalCenter12a"/>
    <w:basedOn w:val="Normal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pPr>
      <w:spacing w:before="720" w:after="240"/>
      <w:jc w:val="center"/>
    </w:p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customStyle="1" w:styleId="Text1">
    <w:name w:val="Text 1"/>
    <w:basedOn w:val="Normal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Fait">
    <w:name w:val="Fait à"/>
    <w:basedOn w:val="Normal"/>
    <w:next w:val="Institutionquisigne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Normal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character" w:customStyle="1" w:styleId="Marker00000000000000000000000">
    <w:name w:val="Marker00000000000000000000000"/>
    <w:basedOn w:val="DefaultParagraphFont"/>
    <w:rPr>
      <w:color w:val="0000FF"/>
    </w:rPr>
  </w:style>
  <w:style w:type="character" w:customStyle="1" w:styleId="Marker000000000000000000000000">
    <w:name w:val="Marker000000000000000000000000"/>
    <w:basedOn w:val="DefaultParagraphFont"/>
    <w:rPr>
      <w:color w:val="0000FF"/>
    </w:rPr>
  </w:style>
  <w:style w:type="character" w:customStyle="1" w:styleId="Marker10000000000000000000000000000000000000000000">
    <w:name w:val="Marker10000000000000000000000000000000000000000000"/>
    <w:basedOn w:val="DefaultParagraphFont"/>
    <w:rPr>
      <w:color w:val="008000"/>
    </w:rPr>
  </w:style>
  <w:style w:type="character" w:customStyle="1" w:styleId="Marker100000000000000000000000000000000000000000000">
    <w:name w:val="Marker100000000000000000000000000000000000000000000"/>
    <w:basedOn w:val="DefaultParagraphFont"/>
    <w:rPr>
      <w:color w:val="008000"/>
    </w:rPr>
  </w:style>
  <w:style w:type="character" w:customStyle="1" w:styleId="italic1">
    <w:name w:val="italic1"/>
    <w:basedOn w:val="DefaultParagraphFont"/>
    <w:rPr>
      <w:i/>
      <w:i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Normal12a">
    <w:name w:val="Normal12a"/>
    <w:basedOn w:val="Normal"/>
    <w:pPr>
      <w:spacing w:after="240"/>
    </w:pPr>
  </w:style>
  <w:style w:type="paragraph" w:customStyle="1" w:styleId="PageHeadingNotTOC">
    <w:name w:val="PageHeadingNotTOC"/>
    <w:basedOn w:val="Normal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customStyle="1" w:styleId="AmNumberTabsChar">
    <w:name w:val="AmNumberTabs Char"/>
    <w:basedOn w:val="DefaultParagraphFont"/>
    <w:link w:val="AmNumberTabs"/>
    <w:rPr>
      <w:b/>
      <w:sz w:val="24"/>
      <w:lang w:val="sk-SK"/>
    </w:rPr>
  </w:style>
  <w:style w:type="character" w:customStyle="1" w:styleId="NormalBold12bChar">
    <w:name w:val="NormalBold12b Char"/>
    <w:basedOn w:val="AmNumberTabsChar"/>
    <w:link w:val="NormalBold12b"/>
    <w:rPr>
      <w:b/>
      <w:sz w:val="24"/>
      <w:lang w:val="sk-SK"/>
    </w:rPr>
  </w:style>
  <w:style w:type="paragraph" w:customStyle="1" w:styleId="Normal24a">
    <w:name w:val="Normal24a"/>
    <w:basedOn w:val="Normal"/>
    <w:pPr>
      <w:spacing w:after="480"/>
    </w:pPr>
  </w:style>
  <w:style w:type="paragraph" w:customStyle="1" w:styleId="RollCallSymbols14pt">
    <w:name w:val="RollCallSymbols14pt"/>
    <w:basedOn w:val="Normal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pPr>
      <w:spacing w:before="120" w:after="120"/>
    </w:pPr>
    <w:rPr>
      <w:snapToGrid w:val="0"/>
      <w:sz w:val="16"/>
      <w:lang w:eastAsia="en-US"/>
    </w:rPr>
  </w:style>
  <w:style w:type="paragraph" w:customStyle="1" w:styleId="LetterSalutation">
    <w:name w:val="LetterSalutation"/>
    <w:basedOn w:val="Normal"/>
    <w:pPr>
      <w:spacing w:before="600" w:after="360"/>
    </w:pPr>
  </w:style>
  <w:style w:type="paragraph" w:customStyle="1" w:styleId="NormalBoldCenter">
    <w:name w:val="NormalBoldCenter"/>
    <w:basedOn w:val="Normal"/>
    <w:pPr>
      <w:jc w:val="center"/>
    </w:pPr>
    <w:rPr>
      <w:b/>
    </w:rPr>
  </w:style>
  <w:style w:type="paragraph" w:customStyle="1" w:styleId="LetterSubject">
    <w:name w:val="LetterSubject"/>
    <w:basedOn w:val="Normal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pPr>
      <w:spacing w:before="1320"/>
    </w:pPr>
  </w:style>
  <w:style w:type="character" w:customStyle="1" w:styleId="PageHeadingChar">
    <w:name w:val="PageHeading Char"/>
    <w:basedOn w:val="DefaultParagraphFont"/>
    <w:link w:val="PageHeading"/>
    <w:rPr>
      <w:rFonts w:ascii="Arial" w:hAnsi="Arial" w:cs="Arial"/>
      <w:b/>
      <w:sz w:val="24"/>
      <w:lang w:val="sk-SK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customStyle="1" w:styleId="AmDocTypeTab">
    <w:name w:val="AmDocTypeTab"/>
    <w:basedOn w:val="Normal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pPr>
      <w:tabs>
        <w:tab w:val="right" w:pos="9072"/>
      </w:tabs>
    </w:pPr>
  </w:style>
  <w:style w:type="paragraph" w:styleId="TOC4">
    <w:name w:val="toc 4"/>
    <w:basedOn w:val="Normal"/>
    <w:next w:val="Normal"/>
    <w:uiPriority w:val="39"/>
    <w:unhideWhenUsed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pPr>
      <w:widowControl/>
      <w:tabs>
        <w:tab w:val="right" w:pos="1457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pPr>
      <w:widowControl/>
      <w:tabs>
        <w:tab w:val="center" w:pos="7285"/>
        <w:tab w:val="center" w:pos="10930"/>
        <w:tab w:val="right" w:pos="14570"/>
      </w:tabs>
    </w:pPr>
    <w:rPr>
      <w:rFonts w:eastAsiaTheme="minorHAnsi"/>
      <w:szCs w:val="22"/>
      <w:lang w:eastAsia="en-US"/>
    </w:rPr>
  </w:style>
  <w:style w:type="paragraph" w:customStyle="1" w:styleId="HeaderCouncil">
    <w:name w:val="Header Council"/>
    <w:basedOn w:val="Normal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character" w:customStyle="1" w:styleId="Marker">
    <w:name w:val="Marker"/>
    <w:basedOn w:val="DefaultParagraphFont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Pr>
      <w:color w:val="008000"/>
      <w:bdr w:val="none" w:sz="0" w:space="0" w:color="auto"/>
      <w:shd w:val="clear" w:color="auto" w:fill="auto"/>
    </w:rPr>
  </w:style>
  <w:style w:type="paragraph" w:customStyle="1" w:styleId="Text2">
    <w:name w:val="Text 2"/>
    <w:basedOn w:val="Normal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Text7">
    <w:name w:val="Text 7"/>
    <w:basedOn w:val="Normal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Text8">
    <w:name w:val="Text 8"/>
    <w:basedOn w:val="Normal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Text9">
    <w:name w:val="Text 9"/>
    <w:basedOn w:val="Normal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Text10">
    <w:name w:val="Text 10"/>
    <w:basedOn w:val="Normal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Point6">
    <w:name w:val="Point 6"/>
    <w:basedOn w:val="Normal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Point7">
    <w:name w:val="Point 7"/>
    <w:basedOn w:val="Normal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Point8">
    <w:name w:val="Point 8"/>
    <w:basedOn w:val="Normal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Point9">
    <w:name w:val="Point 9"/>
    <w:basedOn w:val="Normal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PointDouble0">
    <w:name w:val="PointDouble 0"/>
    <w:basedOn w:val="Normal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Theme="minorHAnsi"/>
      <w:szCs w:val="22"/>
      <w:lang w:eastAsia="en-US"/>
    </w:rPr>
  </w:style>
  <w:style w:type="paragraph" w:customStyle="1" w:styleId="PointDouble5">
    <w:name w:val="PointDouble 5"/>
    <w:basedOn w:val="Normal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Theme="minorHAnsi"/>
      <w:szCs w:val="22"/>
      <w:lang w:eastAsia="en-US"/>
    </w:rPr>
  </w:style>
  <w:style w:type="paragraph" w:customStyle="1" w:styleId="PointTriple5">
    <w:name w:val="PointTriple 5"/>
    <w:basedOn w:val="Normal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Normal"/>
    <w:pPr>
      <w:widowControl/>
      <w:numPr>
        <w:numId w:val="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1">
    <w:name w:val="Tiret 1"/>
    <w:basedOn w:val="Normal"/>
    <w:pPr>
      <w:widowControl/>
      <w:numPr>
        <w:numId w:val="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2">
    <w:name w:val="Tiret 2"/>
    <w:basedOn w:val="Normal"/>
    <w:pPr>
      <w:widowControl/>
      <w:numPr>
        <w:numId w:val="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3">
    <w:name w:val="Tiret 3"/>
    <w:basedOn w:val="Normal"/>
    <w:pPr>
      <w:widowControl/>
      <w:numPr>
        <w:numId w:val="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4">
    <w:name w:val="Tiret 4"/>
    <w:basedOn w:val="Normal"/>
    <w:pPr>
      <w:widowControl/>
      <w:numPr>
        <w:numId w:val="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5">
    <w:name w:val="Tiret 5"/>
    <w:basedOn w:val="Normal"/>
    <w:pPr>
      <w:widowControl/>
      <w:numPr>
        <w:numId w:val="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6">
    <w:name w:val="Tiret 6"/>
    <w:basedOn w:val="Normal"/>
    <w:pPr>
      <w:widowControl/>
      <w:numPr>
        <w:numId w:val="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7">
    <w:name w:val="Tiret 7"/>
    <w:basedOn w:val="Normal"/>
    <w:pPr>
      <w:widowControl/>
      <w:numPr>
        <w:numId w:val="1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8">
    <w:name w:val="Tiret 8"/>
    <w:basedOn w:val="Normal"/>
    <w:pPr>
      <w:widowControl/>
      <w:numPr>
        <w:numId w:val="1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pPr>
      <w:widowControl/>
      <w:numPr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pPr>
      <w:widowControl/>
      <w:numPr>
        <w:ilvl w:val="1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pPr>
      <w:widowControl/>
      <w:numPr>
        <w:ilvl w:val="2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pPr>
      <w:widowControl/>
      <w:numPr>
        <w:ilvl w:val="3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pPr>
      <w:widowControl/>
      <w:numPr>
        <w:ilvl w:val="4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pPr>
      <w:widowControl/>
      <w:numPr>
        <w:ilvl w:val="5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pPr>
      <w:widowControl/>
      <w:numPr>
        <w:ilvl w:val="6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Theme="minorHAnsi"/>
      <w:szCs w:val="22"/>
      <w:lang w:eastAsia="en-US"/>
    </w:rPr>
  </w:style>
  <w:style w:type="paragraph" w:customStyle="1" w:styleId="PartTitle">
    <w:name w:val="PartTitle"/>
    <w:basedOn w:val="Normal"/>
    <w:next w:val="ChapterTitle"/>
    <w:pPr>
      <w:keepNext/>
      <w:pageBreakBefore/>
      <w:widowControl/>
      <w:spacing w:before="120" w:after="360" w:line="360" w:lineRule="auto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pPr>
      <w:keepNext/>
      <w:widowControl/>
      <w:spacing w:before="120" w:after="360" w:line="360" w:lineRule="auto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pPr>
      <w:widowControl/>
      <w:numPr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pPr>
      <w:widowControl/>
      <w:numPr>
        <w:ilvl w:val="2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pPr>
      <w:widowControl/>
      <w:numPr>
        <w:ilvl w:val="4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pPr>
      <w:widowControl/>
      <w:numPr>
        <w:ilvl w:val="6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pPr>
      <w:widowControl/>
      <w:numPr>
        <w:ilvl w:val="1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pPr>
      <w:widowControl/>
      <w:numPr>
        <w:ilvl w:val="3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pPr>
      <w:widowControl/>
      <w:numPr>
        <w:ilvl w:val="5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pPr>
      <w:widowControl/>
      <w:numPr>
        <w:ilvl w:val="7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pPr>
      <w:widowControl/>
      <w:numPr>
        <w:ilvl w:val="8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pPr>
      <w:widowControl/>
      <w:numPr>
        <w:numId w:val="1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pPr>
      <w:widowControl/>
      <w:numPr>
        <w:numId w:val="1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pPr>
      <w:widowControl/>
      <w:numPr>
        <w:numId w:val="1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pPr>
      <w:widowControl/>
      <w:numPr>
        <w:numId w:val="1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pPr>
      <w:widowControl/>
      <w:numPr>
        <w:numId w:val="1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5">
    <w:name w:val="Bullet 5"/>
    <w:basedOn w:val="Normal"/>
    <w:pPr>
      <w:widowControl/>
      <w:numPr>
        <w:numId w:val="1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6">
    <w:name w:val="Bullet 6"/>
    <w:basedOn w:val="Normal"/>
    <w:pPr>
      <w:widowControl/>
      <w:numPr>
        <w:numId w:val="2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7">
    <w:name w:val="Bullet 7"/>
    <w:basedOn w:val="Normal"/>
    <w:pPr>
      <w:widowControl/>
      <w:numPr>
        <w:numId w:val="2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8">
    <w:name w:val="Bullet 8"/>
    <w:basedOn w:val="Normal"/>
    <w:pPr>
      <w:widowControl/>
      <w:numPr>
        <w:numId w:val="22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Considrant">
    <w:name w:val="Considérant"/>
    <w:basedOn w:val="Normal"/>
    <w:pPr>
      <w:widowControl/>
      <w:numPr>
        <w:numId w:val="2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pPr>
      <w:widowControl/>
      <w:tabs>
        <w:tab w:val="left" w:pos="5669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Sous-titreobjet">
    <w:name w:val="Sous-titre objet"/>
    <w:basedOn w:val="Normal"/>
    <w:pPr>
      <w:widowControl/>
      <w:spacing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EntLogo">
    <w:name w:val="EntLogo"/>
    <w:basedOn w:val="Normal"/>
    <w:pPr>
      <w:widowControl/>
      <w:tabs>
        <w:tab w:val="right" w:pos="9639"/>
      </w:tabs>
      <w:spacing w:line="360" w:lineRule="auto"/>
    </w:pPr>
    <w:rPr>
      <w:rFonts w:eastAsiaTheme="minorHAnsi"/>
      <w:b/>
      <w:szCs w:val="22"/>
      <w:lang w:eastAsia="en-US"/>
    </w:rPr>
  </w:style>
  <w:style w:type="paragraph" w:customStyle="1" w:styleId="EntInstit">
    <w:name w:val="EntInstit"/>
    <w:basedOn w:val="Normal"/>
    <w:pPr>
      <w:widowControl/>
      <w:jc w:val="right"/>
    </w:pPr>
    <w:rPr>
      <w:rFonts w:eastAsiaTheme="minorHAnsi"/>
      <w:b/>
      <w:szCs w:val="22"/>
      <w:lang w:eastAsia="en-US"/>
    </w:rPr>
  </w:style>
  <w:style w:type="paragraph" w:customStyle="1" w:styleId="EntRefer">
    <w:name w:val="EntRefer"/>
    <w:basedOn w:val="Normal"/>
    <w:pPr>
      <w:widowControl/>
    </w:pPr>
    <w:rPr>
      <w:rFonts w:eastAsiaTheme="minorHAnsi"/>
      <w:b/>
      <w:szCs w:val="22"/>
      <w:lang w:eastAsia="en-US"/>
    </w:rPr>
  </w:style>
  <w:style w:type="paragraph" w:customStyle="1" w:styleId="EntEmet">
    <w:name w:val="EntEmet"/>
    <w:basedOn w:val="Normal"/>
    <w:pPr>
      <w:widowControl/>
      <w:spacing w:before="40"/>
    </w:pPr>
    <w:rPr>
      <w:rFonts w:eastAsiaTheme="minorHAnsi"/>
      <w:szCs w:val="22"/>
      <w:lang w:eastAsia="en-US"/>
    </w:rPr>
  </w:style>
  <w:style w:type="paragraph" w:customStyle="1" w:styleId="EntText">
    <w:name w:val="EntText"/>
    <w:basedOn w:val="Normal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EntEU">
    <w:name w:val="EntEU"/>
    <w:basedOn w:val="Normal"/>
    <w:pPr>
      <w:widowControl/>
      <w:spacing w:before="240" w:after="24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EntASSOC">
    <w:name w:val="EntASSOC"/>
    <w:basedOn w:val="Normal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EntACP">
    <w:name w:val="EntACP"/>
    <w:basedOn w:val="Normal"/>
    <w:pPr>
      <w:widowControl/>
      <w:spacing w:after="180"/>
      <w:jc w:val="center"/>
    </w:pPr>
    <w:rPr>
      <w:rFonts w:eastAsiaTheme="minorHAns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pPr>
      <w:spacing w:before="240"/>
    </w:pPr>
  </w:style>
  <w:style w:type="paragraph" w:customStyle="1" w:styleId="Accordtitre">
    <w:name w:val="Accord titre"/>
    <w:basedOn w:val="Normal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ooterAccord">
    <w:name w:val="Footer Accord"/>
    <w:basedOn w:val="Normal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FooterLandscapeAccord">
    <w:name w:val="FooterLandscape Accord"/>
    <w:basedOn w:val="Normal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pPr>
      <w:keepNext/>
      <w:widowControl/>
      <w:spacing w:before="60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pPr>
      <w:spacing w:after="240"/>
    </w:pPr>
  </w:style>
  <w:style w:type="paragraph" w:customStyle="1" w:styleId="Annexetitre">
    <w:name w:val="Annexe titre"/>
    <w:basedOn w:val="Normal"/>
    <w:next w:val="Normal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pPr>
      <w:widowControl/>
      <w:tabs>
        <w:tab w:val="center" w:pos="5953"/>
      </w:tabs>
      <w:spacing w:before="720" w:after="120" w:line="360" w:lineRule="auto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eastAsiaTheme="minorHAnsi"/>
      <w:lang w:val="sk-SK" w:eastAsia="en-US"/>
    </w:rPr>
  </w:style>
  <w:style w:type="character" w:styleId="EndnoteReference">
    <w:name w:val="endnote reference"/>
    <w:basedOn w:val="DefaultParagraphFont"/>
    <w:uiPriority w:val="99"/>
    <w:unhideWhenUsed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2">
    <w:name w:val="Division 2"/>
    <w:basedOn w:val="Normal"/>
    <w:next w:val="Normal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3">
    <w:name w:val="Division 3"/>
    <w:basedOn w:val="Normal"/>
    <w:next w:val="Normal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4">
    <w:name w:val="Division 4"/>
    <w:basedOn w:val="Normal"/>
    <w:next w:val="Normal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rossheading1">
    <w:name w:val="Crossheading 1"/>
    <w:basedOn w:val="Normal"/>
    <w:next w:val="Normal"/>
    <w:pPr>
      <w:widowControl/>
      <w:spacing w:before="120" w:after="120" w:line="360" w:lineRule="auto"/>
      <w:ind w:left="850"/>
    </w:pPr>
    <w:rPr>
      <w:rFonts w:eastAsiaTheme="minorHAns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Crossheading2">
    <w:name w:val="Crossheading 2"/>
    <w:basedOn w:val="Normal"/>
    <w:next w:val="Normal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Crossheading3">
    <w:name w:val="Crossheading 3"/>
    <w:basedOn w:val="Normal"/>
    <w:next w:val="Normal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Crossheading4">
    <w:name w:val="Crossheading 4"/>
    <w:basedOn w:val="Normal"/>
    <w:next w:val="Normal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Crossheading5">
    <w:name w:val="Crossheading 5"/>
    <w:basedOn w:val="Normal"/>
    <w:next w:val="Normal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Crossheading6">
    <w:name w:val="Crossheading 6"/>
    <w:basedOn w:val="Normal"/>
    <w:next w:val="Normal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Crossheading7">
    <w:name w:val="Crossheading 7"/>
    <w:basedOn w:val="Normal"/>
    <w:next w:val="Normal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Crossheading8">
    <w:name w:val="Crossheading 8"/>
    <w:basedOn w:val="Normal"/>
    <w:next w:val="Normal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Crossheading9">
    <w:name w:val="Crossheading 9"/>
    <w:basedOn w:val="Normal"/>
    <w:next w:val="Normal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Crossheading10">
    <w:name w:val="Crossheading 10"/>
    <w:basedOn w:val="Normal"/>
    <w:next w:val="Normal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pPr>
      <w:widowControl/>
      <w:spacing w:before="120" w:after="120" w:line="360" w:lineRule="auto"/>
      <w:ind w:left="6520" w:hanging="567"/>
    </w:pPr>
    <w:rPr>
      <w:rFonts w:eastAsiaTheme="minorHAnsi"/>
      <w:szCs w:val="22"/>
      <w:lang w:eastAsia="en-US"/>
    </w:rPr>
  </w:style>
  <w:style w:type="paragraph" w:customStyle="1" w:styleId="Crossheading0">
    <w:name w:val="Crossheading 0"/>
    <w:basedOn w:val="Normal"/>
    <w:next w:val="Normal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ommentQuotedText">
    <w:name w:val="CommentQuotedText"/>
    <w:pPr>
      <w:pBdr>
        <w:left w:val="single" w:sz="18" w:space="5" w:color="0070C0"/>
      </w:pBdr>
      <w:spacing w:after="160" w:line="259" w:lineRule="auto"/>
    </w:pPr>
    <w:rPr>
      <w:rFonts w:asciiTheme="minorHAnsi" w:eastAsiaTheme="minorHAnsi" w:hAnsiTheme="minorHAnsi" w:cstheme="minorBidi"/>
      <w:i/>
      <w:sz w:val="22"/>
      <w:szCs w:val="22"/>
      <w:lang w:val="sk-SK" w:eastAsia="en-US"/>
    </w:rPr>
  </w:style>
  <w:style w:type="paragraph" w:customStyle="1" w:styleId="CommentFwdQuotedText">
    <w:name w:val="CommentFwdQuotedText"/>
    <w:basedOn w:val="Normal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Theme="minorHAns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Pr>
      <w:b/>
      <w:i/>
    </w:rPr>
  </w:style>
  <w:style w:type="character" w:customStyle="1" w:styleId="diff-tte-removed">
    <w:name w:val="diff-tte-removed"/>
    <w:basedOn w:val="DefaultParagraphFont"/>
    <w:rPr>
      <w:strike/>
    </w:rPr>
  </w:style>
  <w:style w:type="paragraph" w:styleId="NormalWeb">
    <w:name w:val="Normal (Web)"/>
    <w:basedOn w:val="Normal"/>
    <w:uiPriority w:val="99"/>
    <w:unhideWhenUsed/>
    <w:pPr>
      <w:widowControl/>
      <w:spacing w:before="100" w:beforeAutospacing="1" w:after="100" w:afterAutospacing="1"/>
    </w:pPr>
    <w:rPr>
      <w:szCs w:val="24"/>
    </w:rPr>
  </w:style>
  <w:style w:type="paragraph" w:styleId="Revision">
    <w:name w:val="Revision"/>
    <w:hidden/>
    <w:uiPriority w:val="99"/>
    <w:semiHidden/>
    <w:rPr>
      <w:rFonts w:eastAsiaTheme="minorHAnsi"/>
      <w:sz w:val="24"/>
      <w:szCs w:val="22"/>
      <w:lang w:val="sk-SK" w:eastAsia="en-US"/>
    </w:rPr>
  </w:style>
  <w:style w:type="character" w:styleId="FollowedHyperlink">
    <w:name w:val="FollowedHyperlink"/>
    <w:basedOn w:val="DefaultParagraphFont"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E9D7B-3F91-498F-998E-F8512E11C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446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SUCHANOVA Monika</dc:creator>
  <cp:keywords/>
  <cp:lastModifiedBy>SUCHANOVA Monika</cp:lastModifiedBy>
  <cp:revision>3</cp:revision>
  <cp:lastPrinted>2004-11-19T15:42:00Z</cp:lastPrinted>
  <dcterms:created xsi:type="dcterms:W3CDTF">2024-04-24T14:32:00Z</dcterms:created>
  <dcterms:modified xsi:type="dcterms:W3CDTF">2024-09-09T12:32:00Z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A9-0085/2024</vt:lpwstr>
  </property>
  <property fmtid="{D5CDD505-2E9C-101B-9397-08002B2CF9AE}" pid="4" name="&lt;Type&gt;">
    <vt:lpwstr>RR</vt:lpwstr>
  </property>
</Properties>
</file>