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05CEA" w14:paraId="2A9E6D7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E64D35B" w14:textId="77777777" w:rsidR="00751A4A" w:rsidRPr="00205CEA" w:rsidRDefault="002F7CDA" w:rsidP="0010095E">
            <w:pPr>
              <w:pStyle w:val="EPName"/>
            </w:pPr>
            <w:r w:rsidRPr="00205CEA">
              <w:t>Parlamento Europeu</w:t>
            </w:r>
          </w:p>
          <w:p w14:paraId="6D0D1848" w14:textId="77777777" w:rsidR="00751A4A" w:rsidRPr="00205CE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05504">
              <w:t>2019</w:t>
            </w:r>
            <w:r w:rsidRPr="00205CEA">
              <w:t>-</w:t>
            </w:r>
            <w:r w:rsidRPr="00A05504">
              <w:t>2024</w:t>
            </w:r>
          </w:p>
        </w:tc>
        <w:tc>
          <w:tcPr>
            <w:tcW w:w="2268" w:type="dxa"/>
            <w:shd w:val="clear" w:color="auto" w:fill="auto"/>
          </w:tcPr>
          <w:p w14:paraId="2A697446" w14:textId="77777777" w:rsidR="00751A4A" w:rsidRPr="00205CEA" w:rsidRDefault="00187494" w:rsidP="0010095E">
            <w:pPr>
              <w:pStyle w:val="EPLogo"/>
            </w:pPr>
            <w:r w:rsidRPr="00205CEA">
              <w:rPr>
                <w:noProof/>
                <w:lang w:val="en-GB"/>
              </w:rPr>
              <w:drawing>
                <wp:inline distT="0" distB="0" distL="0" distR="0" wp14:anchorId="3E99E4EF" wp14:editId="30F0799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DAEF89" w14:textId="77777777" w:rsidR="00D058B8" w:rsidRPr="00205CEA" w:rsidRDefault="00D058B8" w:rsidP="004C5D52">
      <w:pPr>
        <w:pStyle w:val="LineTop"/>
      </w:pPr>
    </w:p>
    <w:p w14:paraId="5C242B2B" w14:textId="77777777" w:rsidR="00680577" w:rsidRPr="00205CEA" w:rsidRDefault="002F7CDA" w:rsidP="00680577">
      <w:pPr>
        <w:pStyle w:val="EPBodyTA1"/>
      </w:pPr>
      <w:r w:rsidRPr="00205CEA">
        <w:t>TEXTOS APROVADOS</w:t>
      </w:r>
    </w:p>
    <w:p w14:paraId="7298E6A3" w14:textId="77777777" w:rsidR="00D058B8" w:rsidRPr="00205CEA" w:rsidRDefault="00D058B8" w:rsidP="00D058B8">
      <w:pPr>
        <w:pStyle w:val="LineBottom"/>
      </w:pPr>
    </w:p>
    <w:p w14:paraId="6ED4E922" w14:textId="3EA793E6" w:rsidR="002F7CDA" w:rsidRPr="00205CEA" w:rsidRDefault="002F7CDA" w:rsidP="002F7CDA">
      <w:pPr>
        <w:pStyle w:val="ATHeading1"/>
      </w:pPr>
      <w:bookmarkStart w:id="0" w:name="TANumber"/>
      <w:r w:rsidRPr="00205CEA">
        <w:t>P</w:t>
      </w:r>
      <w:r w:rsidRPr="00A05504">
        <w:t>9</w:t>
      </w:r>
      <w:r w:rsidRPr="00205CEA">
        <w:t>_TA(</w:t>
      </w:r>
      <w:r w:rsidRPr="00A05504">
        <w:t>2024</w:t>
      </w:r>
      <w:r w:rsidRPr="00205CEA">
        <w:t>)</w:t>
      </w:r>
      <w:r w:rsidRPr="00A05504">
        <w:t>0</w:t>
      </w:r>
      <w:bookmarkEnd w:id="0"/>
      <w:r w:rsidR="00367088" w:rsidRPr="00A05504">
        <w:t>343</w:t>
      </w:r>
    </w:p>
    <w:p w14:paraId="7900A92C" w14:textId="77777777" w:rsidR="002F7CDA" w:rsidRPr="00205CEA" w:rsidRDefault="002F7CDA" w:rsidP="002F7CDA">
      <w:pPr>
        <w:pStyle w:val="ATHeading2"/>
      </w:pPr>
      <w:bookmarkStart w:id="1" w:name="title"/>
      <w:r w:rsidRPr="00205CEA">
        <w:t>Criação do Mecanismo para as Reformas e o Crescimento nos Balcãs Ocidentais</w:t>
      </w:r>
      <w:bookmarkEnd w:id="1"/>
    </w:p>
    <w:p w14:paraId="2966E583" w14:textId="77777777" w:rsidR="002F7CDA" w:rsidRPr="00205CEA" w:rsidRDefault="002F7CDA" w:rsidP="002F7CDA">
      <w:pPr>
        <w:rPr>
          <w:i/>
          <w:vanish/>
        </w:rPr>
      </w:pPr>
      <w:r w:rsidRPr="00205CEA">
        <w:rPr>
          <w:i/>
        </w:rPr>
        <w:fldChar w:fldCharType="begin"/>
      </w:r>
      <w:r w:rsidRPr="00205CEA">
        <w:rPr>
          <w:i/>
        </w:rPr>
        <w:instrText xml:space="preserve"> TC"(</w:instrText>
      </w:r>
      <w:bookmarkStart w:id="2" w:name="DocNumber"/>
      <w:r w:rsidRPr="00205CEA">
        <w:rPr>
          <w:i/>
        </w:rPr>
        <w:instrText>A</w:instrText>
      </w:r>
      <w:r w:rsidRPr="00A05504">
        <w:rPr>
          <w:i/>
        </w:rPr>
        <w:instrText>9</w:instrText>
      </w:r>
      <w:r w:rsidRPr="00205CEA">
        <w:rPr>
          <w:i/>
        </w:rPr>
        <w:instrText>-</w:instrText>
      </w:r>
      <w:r w:rsidRPr="00A05504">
        <w:rPr>
          <w:i/>
        </w:rPr>
        <w:instrText>0085</w:instrText>
      </w:r>
      <w:r w:rsidRPr="00205CEA">
        <w:rPr>
          <w:i/>
        </w:rPr>
        <w:instrText>/</w:instrText>
      </w:r>
      <w:r w:rsidRPr="00A05504">
        <w:rPr>
          <w:i/>
        </w:rPr>
        <w:instrText>2024</w:instrText>
      </w:r>
      <w:bookmarkEnd w:id="2"/>
      <w:r w:rsidRPr="00205CEA">
        <w:rPr>
          <w:i/>
        </w:rPr>
        <w:instrText xml:space="preserve"> - Relatores: Tonino Picula, Karlo Ressler)"\l</w:instrText>
      </w:r>
      <w:r w:rsidRPr="00A05504">
        <w:rPr>
          <w:i/>
        </w:rPr>
        <w:instrText>3</w:instrText>
      </w:r>
      <w:r w:rsidRPr="00205CEA">
        <w:rPr>
          <w:i/>
        </w:rPr>
        <w:instrText xml:space="preserve"> \n&gt; \* MERGEFORMAT </w:instrText>
      </w:r>
      <w:r w:rsidRPr="00205CEA">
        <w:rPr>
          <w:i/>
        </w:rPr>
        <w:fldChar w:fldCharType="end"/>
      </w:r>
    </w:p>
    <w:p w14:paraId="6B7F950D" w14:textId="77777777" w:rsidR="002F7CDA" w:rsidRPr="00205CEA" w:rsidRDefault="002F7CDA" w:rsidP="002F7CDA">
      <w:pPr>
        <w:rPr>
          <w:vanish/>
        </w:rPr>
      </w:pPr>
      <w:bookmarkStart w:id="3" w:name="Commission"/>
      <w:r w:rsidRPr="00205CEA">
        <w:rPr>
          <w:vanish/>
        </w:rPr>
        <w:t>Comissão dos Assuntos Externos, Comissão dos Orçamentos</w:t>
      </w:r>
      <w:bookmarkEnd w:id="3"/>
    </w:p>
    <w:p w14:paraId="1885F1FC" w14:textId="77777777" w:rsidR="002F7CDA" w:rsidRPr="00205CEA" w:rsidRDefault="002F7CDA" w:rsidP="002F7CDA">
      <w:pPr>
        <w:rPr>
          <w:vanish/>
        </w:rPr>
      </w:pPr>
      <w:bookmarkStart w:id="4" w:name="PE"/>
      <w:r w:rsidRPr="00205CEA">
        <w:rPr>
          <w:vanish/>
        </w:rPr>
        <w:t>PE</w:t>
      </w:r>
      <w:r w:rsidRPr="00A05504">
        <w:rPr>
          <w:vanish/>
        </w:rPr>
        <w:t>758</w:t>
      </w:r>
      <w:r w:rsidRPr="00205CEA">
        <w:rPr>
          <w:vanish/>
        </w:rPr>
        <w:t>.</w:t>
      </w:r>
      <w:r w:rsidRPr="00A05504">
        <w:rPr>
          <w:vanish/>
        </w:rPr>
        <w:t>888</w:t>
      </w:r>
      <w:bookmarkEnd w:id="4"/>
    </w:p>
    <w:p w14:paraId="65A11781" w14:textId="74295CED" w:rsidR="002F7CDA" w:rsidRPr="00205CEA" w:rsidRDefault="002F7CDA" w:rsidP="002F7CDA">
      <w:pPr>
        <w:pStyle w:val="ATHeading3"/>
      </w:pPr>
      <w:bookmarkStart w:id="5" w:name="Sujet"/>
      <w:r w:rsidRPr="00205CEA">
        <w:t xml:space="preserve">Resolução legislativa do Parlamento Europeu, de </w:t>
      </w:r>
      <w:r w:rsidR="00A83AC9" w:rsidRPr="00A05504">
        <w:t>24</w:t>
      </w:r>
      <w:r w:rsidR="00A83AC9" w:rsidRPr="00205CEA">
        <w:t xml:space="preserve"> </w:t>
      </w:r>
      <w:r w:rsidRPr="00205CEA">
        <w:t xml:space="preserve">de </w:t>
      </w:r>
      <w:r w:rsidR="006D0275" w:rsidRPr="00205CEA">
        <w:t>abril</w:t>
      </w:r>
      <w:r w:rsidRPr="00205CEA">
        <w:t xml:space="preserve"> de </w:t>
      </w:r>
      <w:r w:rsidRPr="00A05504">
        <w:t>2024</w:t>
      </w:r>
      <w:r w:rsidRPr="00205CEA">
        <w:t>, sobre a proposta de regulamento do Parlamento Europeu e do Conselho que cria o Mecanismo para as Reformas e o Crescimento nos Balcãs Ocidentais</w:t>
      </w:r>
      <w:bookmarkEnd w:id="5"/>
      <w:r w:rsidRPr="00205CEA">
        <w:t xml:space="preserve"> </w:t>
      </w:r>
      <w:bookmarkStart w:id="6" w:name="References"/>
      <w:r w:rsidRPr="00205CEA">
        <w:t>(COM(</w:t>
      </w:r>
      <w:r w:rsidRPr="00A05504">
        <w:t>2023</w:t>
      </w:r>
      <w:r w:rsidRPr="00205CEA">
        <w:t>)</w:t>
      </w:r>
      <w:r w:rsidRPr="00A05504">
        <w:t>0692</w:t>
      </w:r>
      <w:r w:rsidRPr="00205CEA">
        <w:t xml:space="preserve"> – C</w:t>
      </w:r>
      <w:r w:rsidRPr="00A05504">
        <w:t>9</w:t>
      </w:r>
      <w:r w:rsidRPr="00205CEA">
        <w:t>-</w:t>
      </w:r>
      <w:r w:rsidRPr="00A05504">
        <w:t>0408</w:t>
      </w:r>
      <w:r w:rsidRPr="00205CEA">
        <w:t>/</w:t>
      </w:r>
      <w:r w:rsidRPr="00A05504">
        <w:t>2023</w:t>
      </w:r>
      <w:r w:rsidRPr="00205CEA">
        <w:t xml:space="preserve"> – </w:t>
      </w:r>
      <w:r w:rsidRPr="00A05504">
        <w:t>2023</w:t>
      </w:r>
      <w:r w:rsidRPr="00205CEA">
        <w:t>/</w:t>
      </w:r>
      <w:r w:rsidRPr="00A05504">
        <w:t>0397</w:t>
      </w:r>
      <w:r w:rsidRPr="00205CEA">
        <w:t>(COD))</w:t>
      </w:r>
      <w:bookmarkEnd w:id="6"/>
    </w:p>
    <w:p w14:paraId="700F8A39" w14:textId="77777777" w:rsidR="002F7CDA" w:rsidRPr="00205CEA" w:rsidRDefault="002F7CDA" w:rsidP="002F7CDA"/>
    <w:p w14:paraId="1F36AF29" w14:textId="77777777" w:rsidR="00E12813" w:rsidRPr="00205CEA" w:rsidRDefault="00E12813" w:rsidP="00E12813">
      <w:pPr>
        <w:pStyle w:val="NormalBold"/>
      </w:pPr>
      <w:bookmarkStart w:id="7" w:name="TextBodyBegin"/>
      <w:bookmarkEnd w:id="7"/>
      <w:r w:rsidRPr="00205CEA">
        <w:t>(Processo legislativo ordinário: primeira leitura)</w:t>
      </w:r>
    </w:p>
    <w:p w14:paraId="0FEA7484" w14:textId="77777777" w:rsidR="00E12813" w:rsidRPr="00205CEA" w:rsidRDefault="00E12813" w:rsidP="00E12813">
      <w:pPr>
        <w:pStyle w:val="EPComma"/>
      </w:pPr>
      <w:r w:rsidRPr="00205CEA">
        <w:rPr>
          <w:i/>
        </w:rPr>
        <w:t>O Parlamento Europeu</w:t>
      </w:r>
      <w:r w:rsidRPr="00205CEA">
        <w:t>,</w:t>
      </w:r>
    </w:p>
    <w:p w14:paraId="30849D68" w14:textId="5DFF83BE" w:rsidR="00E12813" w:rsidRPr="00205CEA" w:rsidRDefault="00E12813" w:rsidP="00E12813">
      <w:pPr>
        <w:pStyle w:val="NormalHanging12a"/>
      </w:pPr>
      <w:r w:rsidRPr="00205CEA">
        <w:t>–</w:t>
      </w:r>
      <w:r w:rsidRPr="00205CEA">
        <w:tab/>
        <w:t>Tendo em conta a proposta da Comissão ao Parlamento e ao Conselho (COM(</w:t>
      </w:r>
      <w:r w:rsidRPr="00A05504">
        <w:t>2023</w:t>
      </w:r>
      <w:r w:rsidRPr="00205CEA">
        <w:t>)</w:t>
      </w:r>
      <w:r w:rsidRPr="00A05504">
        <w:t>0692</w:t>
      </w:r>
      <w:r w:rsidRPr="00205CEA">
        <w:t>),</w:t>
      </w:r>
    </w:p>
    <w:p w14:paraId="6A97741F" w14:textId="77777777" w:rsidR="00E12813" w:rsidRPr="00205CEA" w:rsidRDefault="00E12813" w:rsidP="00E12813">
      <w:pPr>
        <w:pStyle w:val="NormalHanging12a"/>
      </w:pPr>
      <w:r w:rsidRPr="00205CEA">
        <w:t>–</w:t>
      </w:r>
      <w:r w:rsidRPr="00205CEA">
        <w:tab/>
        <w:t xml:space="preserve">Tendo em conta o artigo </w:t>
      </w:r>
      <w:r w:rsidRPr="00A05504">
        <w:t>294</w:t>
      </w:r>
      <w:r w:rsidRPr="00205CEA">
        <w:t xml:space="preserve">.º, n.º </w:t>
      </w:r>
      <w:r w:rsidRPr="00A05504">
        <w:t>2</w:t>
      </w:r>
      <w:r w:rsidRPr="00205CEA">
        <w:t xml:space="preserve">, o artigo </w:t>
      </w:r>
      <w:r w:rsidRPr="00A05504">
        <w:t>212</w:t>
      </w:r>
      <w:r w:rsidRPr="00205CEA">
        <w:t xml:space="preserve">.º e o artigo </w:t>
      </w:r>
      <w:r w:rsidRPr="00A05504">
        <w:t>322</w:t>
      </w:r>
      <w:r w:rsidRPr="00205CEA">
        <w:t xml:space="preserve">.º, n.º </w:t>
      </w:r>
      <w:r w:rsidRPr="00A05504">
        <w:t>1</w:t>
      </w:r>
      <w:r w:rsidRPr="00205CEA">
        <w:t>, do Tratado sobre o Funcionamento da União Europeia, nos termos dos quais a proposta lhe foi apresentada pela Comissão (C</w:t>
      </w:r>
      <w:r w:rsidRPr="00A05504">
        <w:t>9</w:t>
      </w:r>
      <w:r w:rsidRPr="00205CEA">
        <w:noBreakHyphen/>
      </w:r>
      <w:r w:rsidRPr="00A05504">
        <w:t>0408</w:t>
      </w:r>
      <w:r w:rsidRPr="00205CEA">
        <w:t>/</w:t>
      </w:r>
      <w:r w:rsidRPr="00A05504">
        <w:t>2023</w:t>
      </w:r>
      <w:r w:rsidRPr="00205CEA">
        <w:t>),</w:t>
      </w:r>
    </w:p>
    <w:p w14:paraId="4F4EC531" w14:textId="7D3B6263" w:rsidR="00E12813" w:rsidRPr="00205CEA" w:rsidRDefault="00E12813" w:rsidP="00E12813">
      <w:pPr>
        <w:pStyle w:val="NormalHanging12a"/>
      </w:pPr>
      <w:r w:rsidRPr="00205CEA">
        <w:t>–</w:t>
      </w:r>
      <w:r w:rsidRPr="00205CEA">
        <w:tab/>
        <w:t xml:space="preserve">Tendo em conta o artigo </w:t>
      </w:r>
      <w:r w:rsidRPr="00A05504">
        <w:t>294</w:t>
      </w:r>
      <w:r w:rsidRPr="00205CEA">
        <w:t>.º, n.º </w:t>
      </w:r>
      <w:r w:rsidRPr="00A05504">
        <w:t>3</w:t>
      </w:r>
      <w:r w:rsidRPr="00205CEA">
        <w:t>, do Tratado sobre o Funcionamento da União Europeia,</w:t>
      </w:r>
    </w:p>
    <w:p w14:paraId="6A3A7436" w14:textId="2E6DE957" w:rsidR="001E410B" w:rsidRPr="00205CEA" w:rsidRDefault="001E410B" w:rsidP="00E12813">
      <w:pPr>
        <w:pStyle w:val="NormalHanging12a"/>
      </w:pPr>
      <w:r w:rsidRPr="00205CEA">
        <w:t>–</w:t>
      </w:r>
      <w:r w:rsidRPr="00205CEA">
        <w:tab/>
        <w:t xml:space="preserve">Tendo em conta o parecer do Tribunal de Contas de </w:t>
      </w:r>
      <w:r w:rsidR="007B1297" w:rsidRPr="00A05504">
        <w:t>30</w:t>
      </w:r>
      <w:r w:rsidR="007B1297" w:rsidRPr="00205CEA">
        <w:t xml:space="preserve"> de janeiro </w:t>
      </w:r>
      <w:r w:rsidRPr="00205CEA">
        <w:t xml:space="preserve">de </w:t>
      </w:r>
      <w:r w:rsidRPr="00A05504">
        <w:t>20</w:t>
      </w:r>
      <w:r w:rsidR="00A83AC9" w:rsidRPr="00A05504">
        <w:t>24</w:t>
      </w:r>
      <w:r w:rsidRPr="00205CEA">
        <w:rPr>
          <w:rStyle w:val="FootnoteReference"/>
        </w:rPr>
        <w:footnoteReference w:id="1"/>
      </w:r>
      <w:r w:rsidRPr="00205CEA">
        <w:t>,</w:t>
      </w:r>
    </w:p>
    <w:p w14:paraId="6944ECEE" w14:textId="3769EAE6" w:rsidR="001E410B" w:rsidRPr="00205CEA" w:rsidRDefault="001E410B" w:rsidP="00E12813">
      <w:pPr>
        <w:pStyle w:val="NormalHanging12a"/>
      </w:pPr>
      <w:r w:rsidRPr="00205CEA">
        <w:t>–</w:t>
      </w:r>
      <w:r w:rsidRPr="00205CEA">
        <w:tab/>
        <w:t>Tendo em conta o acordo provisório aprovado pela</w:t>
      </w:r>
      <w:r w:rsidR="00F6311D" w:rsidRPr="00205CEA">
        <w:t>s comissões</w:t>
      </w:r>
      <w:r w:rsidRPr="00205CEA">
        <w:t xml:space="preserve"> competente</w:t>
      </w:r>
      <w:r w:rsidR="00F6311D" w:rsidRPr="00205CEA">
        <w:t>s</w:t>
      </w:r>
      <w:r w:rsidRPr="00205CEA">
        <w:t xml:space="preserve">, nos termos do artigo </w:t>
      </w:r>
      <w:r w:rsidRPr="00A05504">
        <w:t>74</w:t>
      </w:r>
      <w:r w:rsidRPr="00205CEA">
        <w:t xml:space="preserve">.º, n.º </w:t>
      </w:r>
      <w:r w:rsidRPr="00A05504">
        <w:t>4</w:t>
      </w:r>
      <w:r w:rsidRPr="00205CEA">
        <w:t xml:space="preserve">, do seu Regimento, e o compromisso assumido pelo representante do Conselho, em carta de </w:t>
      </w:r>
      <w:r w:rsidRPr="00A05504">
        <w:t>8</w:t>
      </w:r>
      <w:r w:rsidRPr="00205CEA">
        <w:t xml:space="preserve"> de abril de </w:t>
      </w:r>
      <w:r w:rsidRPr="00A05504">
        <w:t>2024</w:t>
      </w:r>
      <w:r w:rsidRPr="00205CEA">
        <w:t xml:space="preserve">, de aprovar a posição do Parlamento Europeu, nos termos do artigo </w:t>
      </w:r>
      <w:r w:rsidRPr="00A05504">
        <w:t>294</w:t>
      </w:r>
      <w:r w:rsidRPr="00205CEA">
        <w:t xml:space="preserve">.º, n.º </w:t>
      </w:r>
      <w:r w:rsidRPr="00A05504">
        <w:t>4</w:t>
      </w:r>
      <w:r w:rsidRPr="00205CEA">
        <w:t>, do Tratado sobre o Funcionamento da União Europeia,</w:t>
      </w:r>
    </w:p>
    <w:p w14:paraId="1BEFD347" w14:textId="50DB35A5" w:rsidR="00E12813" w:rsidRPr="00205CEA" w:rsidRDefault="00E12813" w:rsidP="00E12813">
      <w:pPr>
        <w:pStyle w:val="NormalHanging12a"/>
      </w:pPr>
      <w:r w:rsidRPr="00205CEA">
        <w:t>–</w:t>
      </w:r>
      <w:r w:rsidRPr="00205CEA">
        <w:tab/>
        <w:t xml:space="preserve">Tendo em conta o artigo </w:t>
      </w:r>
      <w:r w:rsidRPr="00A05504">
        <w:t>59</w:t>
      </w:r>
      <w:r w:rsidRPr="00205CEA">
        <w:t>.º do seu Regimento,</w:t>
      </w:r>
    </w:p>
    <w:p w14:paraId="04A5D768" w14:textId="772BCE20" w:rsidR="00237D31" w:rsidRPr="00205CEA" w:rsidRDefault="00237D31" w:rsidP="00E12813">
      <w:pPr>
        <w:pStyle w:val="NormalHanging12a"/>
      </w:pPr>
      <w:r w:rsidRPr="00205CEA">
        <w:t>–</w:t>
      </w:r>
      <w:r w:rsidRPr="00205CEA">
        <w:tab/>
        <w:t xml:space="preserve">Tendo em conta as deliberações conjuntas da Comissão dos Assuntos Externos e da </w:t>
      </w:r>
      <w:r w:rsidRPr="00205CEA">
        <w:lastRenderedPageBreak/>
        <w:t xml:space="preserve">Comissão dos Orçamentos, nos termos do artigo </w:t>
      </w:r>
      <w:r w:rsidRPr="00A05504">
        <w:t>58</w:t>
      </w:r>
      <w:r w:rsidRPr="00205CEA">
        <w:t>.º do seu Regimento,</w:t>
      </w:r>
    </w:p>
    <w:p w14:paraId="5A89028A" w14:textId="77777777" w:rsidR="00E12813" w:rsidRPr="00205CEA" w:rsidRDefault="00E12813" w:rsidP="00E12813">
      <w:pPr>
        <w:pStyle w:val="NormalHanging12a"/>
      </w:pPr>
      <w:r w:rsidRPr="00205CEA">
        <w:t>–</w:t>
      </w:r>
      <w:r w:rsidRPr="00205CEA">
        <w:tab/>
        <w:t>Tendo em conta os pareceres da Comissão do Comércio Internacional e da Comissão do Desenvolvimento Regional,</w:t>
      </w:r>
    </w:p>
    <w:p w14:paraId="5533475E" w14:textId="77777777" w:rsidR="00E12813" w:rsidRPr="00205CEA" w:rsidRDefault="00E12813" w:rsidP="00E12813">
      <w:pPr>
        <w:pStyle w:val="NormalHanging12a"/>
      </w:pPr>
      <w:r w:rsidRPr="00205CEA">
        <w:t>–</w:t>
      </w:r>
      <w:r w:rsidRPr="00205CEA">
        <w:tab/>
        <w:t>Tendo em conta a carta da Comissão do Controlo Orçamental,</w:t>
      </w:r>
    </w:p>
    <w:p w14:paraId="2B45B5D2" w14:textId="77777777" w:rsidR="00E12813" w:rsidRPr="00205CEA" w:rsidRDefault="00E12813" w:rsidP="00E12813">
      <w:pPr>
        <w:pStyle w:val="NormalHanging12a"/>
      </w:pPr>
      <w:r w:rsidRPr="00205CEA">
        <w:t>–</w:t>
      </w:r>
      <w:r w:rsidRPr="00205CEA">
        <w:tab/>
        <w:t>Tendo em conta o relatório da Comissão dos Assuntos Externos e da Comissão dos Orçamentos (A</w:t>
      </w:r>
      <w:r w:rsidRPr="00A05504">
        <w:t>9</w:t>
      </w:r>
      <w:r w:rsidRPr="00205CEA">
        <w:noBreakHyphen/>
      </w:r>
      <w:r w:rsidRPr="00A05504">
        <w:t>0085</w:t>
      </w:r>
      <w:r w:rsidRPr="00205CEA">
        <w:t>/</w:t>
      </w:r>
      <w:r w:rsidRPr="00A05504">
        <w:t>2024</w:t>
      </w:r>
      <w:r w:rsidRPr="00205CEA">
        <w:t>),</w:t>
      </w:r>
    </w:p>
    <w:p w14:paraId="2C5CF682" w14:textId="57AA482F" w:rsidR="00E12813" w:rsidRPr="00205CEA" w:rsidRDefault="00E12813" w:rsidP="00E12813">
      <w:pPr>
        <w:pStyle w:val="NormalHanging12a"/>
      </w:pPr>
      <w:r w:rsidRPr="00A05504">
        <w:t>1</w:t>
      </w:r>
      <w:r w:rsidRPr="00205CEA">
        <w:t>.</w:t>
      </w:r>
      <w:r w:rsidRPr="00205CEA">
        <w:tab/>
        <w:t>Aprova a posição em primeira leitura que se segue;</w:t>
      </w:r>
    </w:p>
    <w:p w14:paraId="3AA01B13" w14:textId="499D75DD" w:rsidR="00417700" w:rsidRPr="00205CEA" w:rsidRDefault="00417700" w:rsidP="00E12813">
      <w:pPr>
        <w:pStyle w:val="NormalHanging12a"/>
      </w:pPr>
      <w:r w:rsidRPr="00A05504">
        <w:t>2</w:t>
      </w:r>
      <w:r w:rsidRPr="00205CEA">
        <w:t>.</w:t>
      </w:r>
      <w:r w:rsidRPr="00205CEA">
        <w:tab/>
        <w:t xml:space="preserve">Regista a declaração comum do Parlamento Europeu e da Comissão anexa à presente resolução, que será publicada na série C do </w:t>
      </w:r>
      <w:r w:rsidRPr="00205CEA">
        <w:rPr>
          <w:i/>
        </w:rPr>
        <w:t>Jornal Oficial da União Europeia</w:t>
      </w:r>
      <w:r w:rsidR="00A83AC9" w:rsidRPr="00205CEA">
        <w:t>;</w:t>
      </w:r>
    </w:p>
    <w:p w14:paraId="05699C11" w14:textId="38BF6F29" w:rsidR="00E12813" w:rsidRPr="00205CEA" w:rsidRDefault="007F35E7" w:rsidP="00E12813">
      <w:pPr>
        <w:pStyle w:val="NormalHanging12a"/>
      </w:pPr>
      <w:r w:rsidRPr="00A05504">
        <w:t>3</w:t>
      </w:r>
      <w:r w:rsidR="00E12813" w:rsidRPr="00205CEA">
        <w:t>.</w:t>
      </w:r>
      <w:r w:rsidR="00E12813" w:rsidRPr="00205CEA">
        <w:tab/>
        <w:t>Requer à Comissão que lhe submeta de novo a sua proposta se a substituir, se a alterar substancialmente ou se pretender alterá</w:t>
      </w:r>
      <w:r w:rsidR="00E12813" w:rsidRPr="00205CEA">
        <w:noBreakHyphen/>
        <w:t>la substancialmente;</w:t>
      </w:r>
    </w:p>
    <w:p w14:paraId="3F94EC8D" w14:textId="2B4AFFC9" w:rsidR="00E12813" w:rsidRDefault="007F35E7" w:rsidP="00E12813">
      <w:pPr>
        <w:pStyle w:val="NormalHanging12a"/>
      </w:pPr>
      <w:r w:rsidRPr="00A05504">
        <w:t>4</w:t>
      </w:r>
      <w:r w:rsidR="00E12813" w:rsidRPr="00205CEA">
        <w:t>.</w:t>
      </w:r>
      <w:r w:rsidR="00E12813" w:rsidRPr="00205CEA">
        <w:tab/>
        <w:t>Encarrega a sua Presidente de transmitir a posição do Parlamento ao Conselho, à Comissão e aos parlamentos nacionais.</w:t>
      </w:r>
    </w:p>
    <w:p w14:paraId="77438E25" w14:textId="77777777" w:rsidR="00CD6F13" w:rsidRPr="00205CEA" w:rsidRDefault="00CD6F13" w:rsidP="00E12813">
      <w:pPr>
        <w:pStyle w:val="NormalHanging12a"/>
      </w:pPr>
    </w:p>
    <w:p w14:paraId="42D76DF0" w14:textId="77777777" w:rsidR="007B1297" w:rsidRPr="00205CEA" w:rsidRDefault="007B1297" w:rsidP="00E12813">
      <w:pPr>
        <w:sectPr w:rsidR="007B1297" w:rsidRPr="00205CEA" w:rsidSect="002D2150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43472C5" w14:textId="77777777" w:rsidR="007B1297" w:rsidRPr="00205CEA" w:rsidRDefault="007B1297" w:rsidP="007B129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205CEA">
        <w:rPr>
          <w:rFonts w:eastAsia="Calibri"/>
          <w:b/>
          <w:bCs/>
          <w:color w:val="000000"/>
          <w:szCs w:val="24"/>
        </w:rPr>
        <w:lastRenderedPageBreak/>
        <w:t>P</w:t>
      </w:r>
      <w:r w:rsidRPr="00A05504">
        <w:rPr>
          <w:rFonts w:eastAsia="Calibri"/>
          <w:b/>
          <w:bCs/>
          <w:color w:val="000000"/>
          <w:szCs w:val="24"/>
        </w:rPr>
        <w:t>9</w:t>
      </w:r>
      <w:r w:rsidRPr="00205CEA">
        <w:rPr>
          <w:rFonts w:eastAsia="Calibri"/>
          <w:b/>
          <w:bCs/>
          <w:color w:val="000000"/>
          <w:szCs w:val="24"/>
        </w:rPr>
        <w:t>_TC</w:t>
      </w:r>
      <w:r w:rsidRPr="00A05504">
        <w:rPr>
          <w:rFonts w:eastAsia="Calibri"/>
          <w:b/>
          <w:bCs/>
          <w:color w:val="000000"/>
          <w:szCs w:val="24"/>
        </w:rPr>
        <w:t>1</w:t>
      </w:r>
      <w:r w:rsidRPr="00205CEA">
        <w:rPr>
          <w:rFonts w:eastAsia="Calibri"/>
          <w:b/>
          <w:bCs/>
          <w:color w:val="000000"/>
          <w:szCs w:val="24"/>
        </w:rPr>
        <w:t>-COD(</w:t>
      </w:r>
      <w:r w:rsidRPr="00A05504">
        <w:rPr>
          <w:rFonts w:eastAsia="Calibri"/>
          <w:b/>
          <w:bCs/>
          <w:color w:val="000000"/>
          <w:szCs w:val="24"/>
        </w:rPr>
        <w:t>2023</w:t>
      </w:r>
      <w:r w:rsidRPr="00205CEA">
        <w:rPr>
          <w:rFonts w:eastAsia="Calibri"/>
          <w:b/>
          <w:bCs/>
          <w:color w:val="000000"/>
          <w:szCs w:val="24"/>
        </w:rPr>
        <w:t>)</w:t>
      </w:r>
      <w:r w:rsidRPr="00A05504">
        <w:rPr>
          <w:rFonts w:eastAsia="Calibri"/>
          <w:b/>
          <w:bCs/>
          <w:color w:val="000000"/>
          <w:szCs w:val="24"/>
        </w:rPr>
        <w:t>0397</w:t>
      </w:r>
    </w:p>
    <w:p w14:paraId="4F43B5CA" w14:textId="0F53B06C" w:rsidR="00E12813" w:rsidRDefault="007B1297" w:rsidP="00CD6F13">
      <w:pPr>
        <w:spacing w:after="240"/>
        <w:rPr>
          <w:b/>
        </w:rPr>
      </w:pPr>
      <w:r w:rsidRPr="00205CEA">
        <w:rPr>
          <w:b/>
        </w:rPr>
        <w:t xml:space="preserve">Posição do Parlamento Europeu aprovada em primeira leitura em </w:t>
      </w:r>
      <w:r w:rsidRPr="00A05504">
        <w:rPr>
          <w:b/>
        </w:rPr>
        <w:t>24</w:t>
      </w:r>
      <w:r w:rsidRPr="00205CEA">
        <w:rPr>
          <w:b/>
        </w:rPr>
        <w:t xml:space="preserve"> de abril de </w:t>
      </w:r>
      <w:r w:rsidRPr="00A05504">
        <w:rPr>
          <w:b/>
        </w:rPr>
        <w:t>2024</w:t>
      </w:r>
      <w:r w:rsidRPr="00205CEA">
        <w:rPr>
          <w:b/>
        </w:rPr>
        <w:t xml:space="preserve"> tendo em vista a adoção do Regulamento (UE) </w:t>
      </w:r>
      <w:r w:rsidRPr="00A05504">
        <w:rPr>
          <w:b/>
        </w:rPr>
        <w:t>2024</w:t>
      </w:r>
      <w:r w:rsidRPr="00205CEA">
        <w:rPr>
          <w:b/>
        </w:rPr>
        <w:t>/... do Parlamento Europeu e do Conselho que cria o Mecanismo para as Reformas e o Cr</w:t>
      </w:r>
      <w:r w:rsidR="00CD6F13">
        <w:rPr>
          <w:b/>
        </w:rPr>
        <w:t>escimento nos Balcãs Ocidentais</w:t>
      </w:r>
    </w:p>
    <w:p w14:paraId="18A3CDD8" w14:textId="5C57F991" w:rsidR="00CD6F13" w:rsidRPr="00CD6F13" w:rsidRDefault="00CD6F13" w:rsidP="00E12813">
      <w:pPr>
        <w:rPr>
          <w:i/>
        </w:rPr>
      </w:pPr>
      <w:r w:rsidRPr="00CD6F13">
        <w:rPr>
          <w:i/>
        </w:rPr>
        <w:t>(Uma vez que foi alcançado um acordo entre o Parlamento e o Conselho, a posição do Parlamento corresponde ao texto legislativo final, Regulamento (UE) 2024</w:t>
      </w:r>
      <w:r>
        <w:rPr>
          <w:i/>
        </w:rPr>
        <w:t>/1449</w:t>
      </w:r>
      <w:bookmarkStart w:id="8" w:name="_GoBack"/>
      <w:bookmarkEnd w:id="8"/>
      <w:r w:rsidRPr="00CD6F13">
        <w:rPr>
          <w:i/>
        </w:rPr>
        <w:t>.)</w:t>
      </w:r>
    </w:p>
    <w:p w14:paraId="699CF3B0" w14:textId="6352CEAD" w:rsidR="007B1297" w:rsidRPr="00205CEA" w:rsidRDefault="007B1297" w:rsidP="007B1297">
      <w:pPr>
        <w:widowControl/>
        <w:spacing w:before="120" w:after="120" w:line="360" w:lineRule="auto"/>
      </w:pPr>
    </w:p>
    <w:p w14:paraId="51EC7DDA" w14:textId="77777777" w:rsidR="007F35E7" w:rsidRPr="00205CEA" w:rsidRDefault="007F35E7" w:rsidP="00E12813">
      <w:pPr>
        <w:sectPr w:rsidR="007F35E7" w:rsidRPr="00205CEA" w:rsidSect="002D215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B1649BB" w14:textId="5A34B4F1" w:rsidR="007B1297" w:rsidRPr="00205CEA" w:rsidRDefault="007F35E7" w:rsidP="00205CEA">
      <w:pPr>
        <w:jc w:val="right"/>
      </w:pPr>
      <w:r w:rsidRPr="00205CEA">
        <w:lastRenderedPageBreak/>
        <w:t>ANEXO À RESOLUÇ</w:t>
      </w:r>
      <w:r w:rsidR="008E38A7" w:rsidRPr="00205CEA">
        <w:t>ÃO</w:t>
      </w:r>
      <w:r w:rsidRPr="00205CEA">
        <w:t xml:space="preserve"> LEGISLATIVA</w:t>
      </w:r>
    </w:p>
    <w:p w14:paraId="2B422CD9" w14:textId="77777777" w:rsidR="007F35E7" w:rsidRPr="00CD6F13" w:rsidRDefault="007F35E7" w:rsidP="00CD6F13">
      <w:pPr>
        <w:spacing w:line="360" w:lineRule="auto"/>
        <w:rPr>
          <w:rFonts w:eastAsia="Calibri"/>
          <w:szCs w:val="22"/>
          <w:lang w:eastAsia="en-US"/>
        </w:rPr>
      </w:pPr>
    </w:p>
    <w:p w14:paraId="32A83C6A" w14:textId="76B8D14B" w:rsidR="007F35E7" w:rsidRPr="00205CEA" w:rsidRDefault="007F35E7" w:rsidP="007F35E7">
      <w:pPr>
        <w:spacing w:line="360" w:lineRule="auto"/>
        <w:jc w:val="center"/>
        <w:rPr>
          <w:rFonts w:eastAsia="Calibri"/>
          <w:b/>
          <w:bCs/>
          <w:szCs w:val="24"/>
          <w:lang w:eastAsia="en-US"/>
        </w:rPr>
      </w:pPr>
      <w:r w:rsidRPr="00205CEA">
        <w:rPr>
          <w:rFonts w:eastAsia="Calibri"/>
          <w:b/>
          <w:szCs w:val="22"/>
          <w:lang w:eastAsia="en-US"/>
        </w:rPr>
        <w:t>Declaração comum do Parlamento Europeu e do Conselho sobre a nomenclatura orçamental adequada para o Mecanismo para os Balcãs Ocidentais</w:t>
      </w:r>
    </w:p>
    <w:p w14:paraId="6BC25020" w14:textId="7B228798" w:rsidR="007F35E7" w:rsidRPr="00205CEA" w:rsidRDefault="007F35E7" w:rsidP="00205CEA">
      <w:pPr>
        <w:spacing w:line="360" w:lineRule="auto"/>
      </w:pPr>
      <w:r w:rsidRPr="00205CEA">
        <w:rPr>
          <w:rFonts w:eastAsia="Calibri"/>
          <w:szCs w:val="22"/>
          <w:lang w:eastAsia="en-US"/>
        </w:rPr>
        <w:t xml:space="preserve">O Parlamento Europeu e o Conselho tomam conhecimento da declaração da Comissão Europeia sobre a apresentação de relatórios. Sem prejuízo das prerrogativas da autoridade orçamental ao abrigo dos Tratados, o Parlamento Europeu e o Conselho tencionam rever a nomenclatura do mecanismo, por exemplo no que respeita às dotações por beneficiário, a fim de assegurar um controlo político e orçamental adequado. O Parlamento Europeu e o Conselho convidam a Comissão Europeia a ter devidamente em conta a presente declaração, se for caso disso, na elaboração do projeto de orçamento para </w:t>
      </w:r>
      <w:r w:rsidRPr="00A05504">
        <w:rPr>
          <w:rFonts w:eastAsia="Calibri"/>
          <w:szCs w:val="22"/>
          <w:lang w:eastAsia="en-US"/>
        </w:rPr>
        <w:t>2025</w:t>
      </w:r>
      <w:r w:rsidRPr="00205CEA">
        <w:rPr>
          <w:rFonts w:eastAsia="Calibri"/>
          <w:szCs w:val="22"/>
          <w:lang w:eastAsia="en-US"/>
        </w:rPr>
        <w:t>.</w:t>
      </w:r>
    </w:p>
    <w:sectPr w:rsidR="007F35E7" w:rsidRPr="00205CEA" w:rsidSect="002D215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71895" w14:textId="77777777" w:rsidR="002F7CDA" w:rsidRPr="002D2150" w:rsidRDefault="002F7CDA">
      <w:r w:rsidRPr="002D2150">
        <w:separator/>
      </w:r>
    </w:p>
  </w:endnote>
  <w:endnote w:type="continuationSeparator" w:id="0">
    <w:p w14:paraId="232CCD5C" w14:textId="77777777" w:rsidR="002F7CDA" w:rsidRPr="002D2150" w:rsidRDefault="002F7CDA">
      <w:r w:rsidRPr="002D21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942BF" w14:textId="77777777" w:rsidR="007B1297" w:rsidRDefault="007B12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FE7C0" w14:textId="2B8B9F06" w:rsidR="007B1297" w:rsidRPr="007F35E7" w:rsidRDefault="007B1297" w:rsidP="007F35E7">
    <w:pPr>
      <w:pStyle w:val="TOC31"/>
      <w:tabs>
        <w:tab w:val="clear" w:pos="9071"/>
        <w:tab w:val="center" w:pos="4535"/>
        <w:tab w:val="right" w:pos="9921"/>
      </w:tabs>
      <w:spacing w:before="0" w:after="0" w:line="240" w:lineRule="auto"/>
      <w:ind w:left="-850" w:right="-85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A1C61" w14:textId="77777777" w:rsidR="007B1297" w:rsidRDefault="007B12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D3722" w14:textId="77777777" w:rsidR="002F7CDA" w:rsidRPr="002D2150" w:rsidRDefault="002F7CDA">
      <w:r w:rsidRPr="002D2150">
        <w:separator/>
      </w:r>
    </w:p>
  </w:footnote>
  <w:footnote w:type="continuationSeparator" w:id="0">
    <w:p w14:paraId="4F684AC0" w14:textId="77777777" w:rsidR="002F7CDA" w:rsidRPr="002D2150" w:rsidRDefault="002F7CDA">
      <w:r w:rsidRPr="002D2150">
        <w:continuationSeparator/>
      </w:r>
    </w:p>
  </w:footnote>
  <w:footnote w:id="1">
    <w:p w14:paraId="5E8A04EB" w14:textId="2FC9C5E7" w:rsidR="001E410B" w:rsidRPr="00205CEA" w:rsidRDefault="001E410B" w:rsidP="00205CEA">
      <w:pPr>
        <w:pStyle w:val="FootnoteText"/>
        <w:ind w:left="567" w:hanging="567"/>
        <w:rPr>
          <w:sz w:val="24"/>
          <w:szCs w:val="24"/>
          <w:lang w:val="pt-PT"/>
        </w:rPr>
      </w:pPr>
      <w:r w:rsidRPr="00205CEA">
        <w:rPr>
          <w:rStyle w:val="FootnoteReference"/>
          <w:sz w:val="24"/>
          <w:szCs w:val="24"/>
        </w:rPr>
        <w:footnoteRef/>
      </w:r>
      <w:r w:rsidRPr="00205CEA">
        <w:rPr>
          <w:sz w:val="24"/>
          <w:szCs w:val="24"/>
          <w:lang w:val="pt-PT"/>
        </w:rPr>
        <w:t xml:space="preserve"> </w:t>
      </w:r>
      <w:r w:rsidRPr="00205CEA">
        <w:rPr>
          <w:sz w:val="24"/>
          <w:szCs w:val="24"/>
          <w:lang w:val="pt-PT"/>
        </w:rPr>
        <w:tab/>
      </w:r>
      <w:r w:rsidR="007B1297" w:rsidRPr="007F35E7">
        <w:rPr>
          <w:sz w:val="24"/>
          <w:szCs w:val="24"/>
          <w:lang w:val="pt-PT"/>
        </w:rPr>
        <w:t>A</w:t>
      </w:r>
      <w:r w:rsidRPr="00205CEA">
        <w:rPr>
          <w:sz w:val="24"/>
          <w:szCs w:val="24"/>
          <w:lang w:val="pt-PT"/>
        </w:rPr>
        <w:t>inda não publicado no Jornal Oficial.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E00A4" w14:textId="77777777" w:rsidR="007B1297" w:rsidRDefault="007B12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B6915" w14:textId="77777777" w:rsidR="007B1297" w:rsidRDefault="007B12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71C4A" w14:textId="77777777" w:rsidR="007B1297" w:rsidRDefault="007B12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5/2024"/>
    <w:docVar w:name="dvlangue" w:val="PT"/>
    <w:docVar w:name="dvnumam" w:val="93"/>
    <w:docVar w:name="dvpe" w:val="758.888"/>
    <w:docVar w:name="dvrapporteur" w:val="Relatores: "/>
    <w:docVar w:name="dvstar" w:val="***I"/>
    <w:docVar w:name="dvtitre" w:val="Resolução legislativa do Parlamento Europeu, de ... de ... de 2024, sobre a proposta de regulamento do Parlamento Europeu e do Conselho que cria o Mecanismo para as Reformas e o Crescimento nos Balcãs Ocidentais(COM(2023)0692 – C9-0408/2023 – 2023/0397(COD))"/>
  </w:docVars>
  <w:rsids>
    <w:rsidRoot w:val="002F7CDA"/>
    <w:rsid w:val="00002272"/>
    <w:rsid w:val="00064002"/>
    <w:rsid w:val="000677B9"/>
    <w:rsid w:val="000831BA"/>
    <w:rsid w:val="000A42CC"/>
    <w:rsid w:val="000E7DD9"/>
    <w:rsid w:val="0010095E"/>
    <w:rsid w:val="00125B37"/>
    <w:rsid w:val="001460B1"/>
    <w:rsid w:val="00187494"/>
    <w:rsid w:val="001E410B"/>
    <w:rsid w:val="001F32AE"/>
    <w:rsid w:val="00205CEA"/>
    <w:rsid w:val="00237D31"/>
    <w:rsid w:val="002767FF"/>
    <w:rsid w:val="002B18FE"/>
    <w:rsid w:val="002B5493"/>
    <w:rsid w:val="002D2150"/>
    <w:rsid w:val="002F7CDA"/>
    <w:rsid w:val="00343214"/>
    <w:rsid w:val="00361C00"/>
    <w:rsid w:val="00367088"/>
    <w:rsid w:val="00395FA1"/>
    <w:rsid w:val="003E15D4"/>
    <w:rsid w:val="00411CCE"/>
    <w:rsid w:val="0041666E"/>
    <w:rsid w:val="00417700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0758"/>
    <w:rsid w:val="005C2568"/>
    <w:rsid w:val="006037C0"/>
    <w:rsid w:val="006631B6"/>
    <w:rsid w:val="00680577"/>
    <w:rsid w:val="006D0275"/>
    <w:rsid w:val="006F74FA"/>
    <w:rsid w:val="00731ADD"/>
    <w:rsid w:val="00734777"/>
    <w:rsid w:val="00747932"/>
    <w:rsid w:val="00751A4A"/>
    <w:rsid w:val="00756632"/>
    <w:rsid w:val="00762C74"/>
    <w:rsid w:val="00786EC0"/>
    <w:rsid w:val="007B1297"/>
    <w:rsid w:val="007D1690"/>
    <w:rsid w:val="007E22AD"/>
    <w:rsid w:val="007F35E7"/>
    <w:rsid w:val="00817416"/>
    <w:rsid w:val="00842779"/>
    <w:rsid w:val="00865F67"/>
    <w:rsid w:val="00881A7B"/>
    <w:rsid w:val="008840E5"/>
    <w:rsid w:val="00887B3E"/>
    <w:rsid w:val="008C2AC6"/>
    <w:rsid w:val="008E38A7"/>
    <w:rsid w:val="00930C23"/>
    <w:rsid w:val="0093193B"/>
    <w:rsid w:val="009509D8"/>
    <w:rsid w:val="00950B64"/>
    <w:rsid w:val="00981893"/>
    <w:rsid w:val="00A05504"/>
    <w:rsid w:val="00A1687D"/>
    <w:rsid w:val="00A43E52"/>
    <w:rsid w:val="00A4678D"/>
    <w:rsid w:val="00A778C7"/>
    <w:rsid w:val="00A83AC9"/>
    <w:rsid w:val="00AB441E"/>
    <w:rsid w:val="00AB6293"/>
    <w:rsid w:val="00AE0928"/>
    <w:rsid w:val="00AF3B82"/>
    <w:rsid w:val="00B12E95"/>
    <w:rsid w:val="00B22876"/>
    <w:rsid w:val="00B558F0"/>
    <w:rsid w:val="00BB347B"/>
    <w:rsid w:val="00BD48FE"/>
    <w:rsid w:val="00BD7BD8"/>
    <w:rsid w:val="00BE6ADC"/>
    <w:rsid w:val="00C05BFE"/>
    <w:rsid w:val="00C23CD4"/>
    <w:rsid w:val="00C61C0C"/>
    <w:rsid w:val="00C941CB"/>
    <w:rsid w:val="00CC2357"/>
    <w:rsid w:val="00CD6F13"/>
    <w:rsid w:val="00CF071A"/>
    <w:rsid w:val="00D058B8"/>
    <w:rsid w:val="00D56C11"/>
    <w:rsid w:val="00D834A0"/>
    <w:rsid w:val="00D872DF"/>
    <w:rsid w:val="00D91E21"/>
    <w:rsid w:val="00DA7FCD"/>
    <w:rsid w:val="00E12813"/>
    <w:rsid w:val="00E365E1"/>
    <w:rsid w:val="00E820A4"/>
    <w:rsid w:val="00EB006A"/>
    <w:rsid w:val="00EB4772"/>
    <w:rsid w:val="00ED169E"/>
    <w:rsid w:val="00ED4235"/>
    <w:rsid w:val="00ED588D"/>
    <w:rsid w:val="00F04346"/>
    <w:rsid w:val="00F075DC"/>
    <w:rsid w:val="00F149E9"/>
    <w:rsid w:val="00F5134D"/>
    <w:rsid w:val="00F6311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5357D"/>
  <w15:chartTrackingRefBased/>
  <w15:docId w15:val="{EAEA03F4-0825-41C3-8C6C-05F5CD23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1281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81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81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81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81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813"/>
    <w:rPr>
      <w:i/>
      <w:sz w:val="22"/>
      <w:lang w:val="pt-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813"/>
    <w:rPr>
      <w:rFonts w:ascii="Arial" w:hAnsi="Arial"/>
      <w:sz w:val="24"/>
      <w:lang w:val="pt-PT"/>
    </w:rPr>
  </w:style>
  <w:style w:type="character" w:customStyle="1" w:styleId="Heading8Char">
    <w:name w:val="Heading 8 Char"/>
    <w:basedOn w:val="DefaultParagraphFont"/>
    <w:link w:val="Heading8"/>
    <w:semiHidden/>
    <w:rsid w:val="00E12813"/>
    <w:rPr>
      <w:rFonts w:ascii="Arial" w:hAnsi="Arial"/>
      <w:i/>
      <w:sz w:val="24"/>
      <w:lang w:val="pt-PT"/>
    </w:rPr>
  </w:style>
  <w:style w:type="character" w:customStyle="1" w:styleId="Heading9Char">
    <w:name w:val="Heading 9 Char"/>
    <w:basedOn w:val="DefaultParagraphFont"/>
    <w:link w:val="Heading9"/>
    <w:semiHidden/>
    <w:rsid w:val="00E12813"/>
    <w:rPr>
      <w:rFonts w:ascii="Arial" w:hAnsi="Arial"/>
      <w:b/>
      <w:i/>
      <w:sz w:val="18"/>
      <w:lang w:val="pt-PT"/>
    </w:rPr>
  </w:style>
  <w:style w:type="paragraph" w:styleId="TOCHeading">
    <w:name w:val="TOC Heading"/>
    <w:basedOn w:val="Normal"/>
    <w:next w:val="Normal"/>
    <w:uiPriority w:val="39"/>
    <w:unhideWhenUsed/>
    <w:qFormat/>
    <w:rsid w:val="00E1281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E1281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E1281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E12813"/>
    <w:pPr>
      <w:spacing w:after="120"/>
    </w:pPr>
  </w:style>
  <w:style w:type="paragraph" w:customStyle="1" w:styleId="PageHeading">
    <w:name w:val="PageHeading"/>
    <w:basedOn w:val="Normal"/>
    <w:link w:val="PageHeadingChar"/>
    <w:rsid w:val="00E12813"/>
    <w:pPr>
      <w:keepNext/>
      <w:spacing w:after="480"/>
      <w:jc w:val="center"/>
    </w:pPr>
    <w:rPr>
      <w:rFonts w:ascii="Arial" w:hAnsi="Arial" w:cs="Arial"/>
      <w:b/>
    </w:rPr>
  </w:style>
  <w:style w:type="character" w:customStyle="1" w:styleId="PageHeadingChar">
    <w:name w:val="PageHeading Char"/>
    <w:basedOn w:val="DefaultParagraphFont"/>
    <w:link w:val="PageHeading"/>
    <w:rsid w:val="00E12813"/>
    <w:rPr>
      <w:rFonts w:ascii="Arial" w:hAnsi="Arial" w:cs="Arial"/>
      <w:b/>
      <w:sz w:val="24"/>
      <w:lang w:val="pt-PT"/>
    </w:rPr>
  </w:style>
  <w:style w:type="paragraph" w:customStyle="1" w:styleId="NormalBold">
    <w:name w:val="NormalBold"/>
    <w:basedOn w:val="Normal"/>
    <w:link w:val="NormalBoldChar"/>
    <w:rsid w:val="00E12813"/>
    <w:rPr>
      <w:b/>
    </w:rPr>
  </w:style>
  <w:style w:type="character" w:customStyle="1" w:styleId="NormalBoldChar">
    <w:name w:val="NormalBold Char"/>
    <w:basedOn w:val="DefaultParagraphFont"/>
    <w:link w:val="NormalBold"/>
    <w:rsid w:val="00E12813"/>
    <w:rPr>
      <w:b/>
      <w:sz w:val="24"/>
      <w:lang w:val="pt-PT"/>
    </w:rPr>
  </w:style>
  <w:style w:type="paragraph" w:customStyle="1" w:styleId="NormalBold12a">
    <w:name w:val="NormalBold12a"/>
    <w:basedOn w:val="Normal"/>
    <w:rsid w:val="00E12813"/>
    <w:pPr>
      <w:spacing w:after="240"/>
    </w:pPr>
    <w:rPr>
      <w:b/>
    </w:rPr>
  </w:style>
  <w:style w:type="paragraph" w:customStyle="1" w:styleId="AmJustText">
    <w:name w:val="AmJustText"/>
    <w:basedOn w:val="Normal"/>
    <w:rsid w:val="00E1281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E1281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E12813"/>
    <w:pPr>
      <w:spacing w:after="480"/>
      <w:ind w:left="1417"/>
    </w:pPr>
  </w:style>
  <w:style w:type="paragraph" w:customStyle="1" w:styleId="CoverNormal">
    <w:name w:val="CoverNormal"/>
    <w:basedOn w:val="Normal"/>
    <w:rsid w:val="00E12813"/>
    <w:pPr>
      <w:ind w:left="1418"/>
    </w:pPr>
  </w:style>
  <w:style w:type="paragraph" w:customStyle="1" w:styleId="AmCrossRef">
    <w:name w:val="AmCrossRef"/>
    <w:basedOn w:val="Normal"/>
    <w:rsid w:val="00E1281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E1281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E1281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E1281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E1281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E1281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E128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813"/>
    <w:rPr>
      <w:sz w:val="24"/>
      <w:lang w:val="pt-PT"/>
    </w:rPr>
  </w:style>
  <w:style w:type="paragraph" w:customStyle="1" w:styleId="AmOrLang">
    <w:name w:val="AmOrLang"/>
    <w:basedOn w:val="Normal"/>
    <w:rsid w:val="00E1281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E1281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E1281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E12813"/>
    <w:rPr>
      <w:b/>
      <w:sz w:val="24"/>
      <w:lang w:val="pt-PT"/>
    </w:rPr>
  </w:style>
  <w:style w:type="paragraph" w:customStyle="1" w:styleId="NormalBold12b">
    <w:name w:val="NormalBold12b"/>
    <w:basedOn w:val="Normal"/>
    <w:link w:val="NormalBold12bChar"/>
    <w:rsid w:val="00E12813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E12813"/>
    <w:rPr>
      <w:b/>
      <w:sz w:val="24"/>
      <w:lang w:val="pt-PT"/>
    </w:rPr>
  </w:style>
  <w:style w:type="paragraph" w:customStyle="1" w:styleId="EPBody">
    <w:name w:val="EPBody"/>
    <w:basedOn w:val="Normal"/>
    <w:rsid w:val="00E1281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E1281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E12813"/>
    <w:pPr>
      <w:spacing w:before="480" w:after="240"/>
    </w:pPr>
  </w:style>
  <w:style w:type="paragraph" w:customStyle="1" w:styleId="Lgendesigne">
    <w:name w:val="Légende signe"/>
    <w:basedOn w:val="Normal"/>
    <w:rsid w:val="00E1281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E1281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E12813"/>
    <w:rPr>
      <w:sz w:val="18"/>
    </w:rPr>
  </w:style>
  <w:style w:type="paragraph" w:customStyle="1" w:styleId="EntPE">
    <w:name w:val="EntPE"/>
    <w:basedOn w:val="Normal12"/>
    <w:rsid w:val="00E12813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E12813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E12813"/>
    <w:rPr>
      <w:noProof/>
      <w:sz w:val="24"/>
      <w:lang w:val="pt-PT"/>
    </w:rPr>
  </w:style>
  <w:style w:type="paragraph" w:customStyle="1" w:styleId="CommitteeAM">
    <w:name w:val="CommitteeAM"/>
    <w:basedOn w:val="Normal"/>
    <w:rsid w:val="00E1281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E1281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E12813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E1281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E12813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E12813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E12813"/>
    <w:rPr>
      <w:sz w:val="24"/>
      <w:lang w:val="pt-PT"/>
    </w:rPr>
  </w:style>
  <w:style w:type="paragraph" w:customStyle="1" w:styleId="Normal12Italic">
    <w:name w:val="Normal12Italic"/>
    <w:basedOn w:val="Normal12"/>
    <w:rsid w:val="00E12813"/>
    <w:rPr>
      <w:i/>
    </w:rPr>
  </w:style>
  <w:style w:type="paragraph" w:customStyle="1" w:styleId="JustificationTitle">
    <w:name w:val="JustificationTitle"/>
    <w:basedOn w:val="Normal"/>
    <w:next w:val="Normal12"/>
    <w:rsid w:val="00E12813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E12813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E1281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E1281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E12813"/>
    <w:pPr>
      <w:spacing w:before="240"/>
      <w:jc w:val="center"/>
    </w:pPr>
    <w:rPr>
      <w:i/>
    </w:rPr>
  </w:style>
  <w:style w:type="character" w:customStyle="1" w:styleId="Footer2Middle">
    <w:name w:val="Footer2Middle"/>
    <w:rsid w:val="00E12813"/>
    <w:rPr>
      <w:rFonts w:ascii="Arial" w:cs="Arial"/>
      <w:b w:val="0"/>
      <w:i/>
      <w:color w:val="C0C0C0"/>
      <w:sz w:val="22"/>
    </w:rPr>
  </w:style>
  <w:style w:type="character" w:styleId="CommentReference">
    <w:name w:val="annotation reference"/>
    <w:basedOn w:val="DefaultParagraphFont"/>
    <w:uiPriority w:val="99"/>
    <w:rsid w:val="00E1281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281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2813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12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12813"/>
    <w:rPr>
      <w:b/>
      <w:bCs/>
      <w:lang w:val="pt-PT"/>
    </w:rPr>
  </w:style>
  <w:style w:type="paragraph" w:styleId="BalloonText">
    <w:name w:val="Balloon Text"/>
    <w:basedOn w:val="Normal"/>
    <w:link w:val="BalloonTextChar"/>
    <w:unhideWhenUsed/>
    <w:rsid w:val="00E128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12813"/>
    <w:rPr>
      <w:rFonts w:ascii="Segoe UI" w:hAnsi="Segoe UI" w:cs="Segoe UI"/>
      <w:sz w:val="18"/>
      <w:szCs w:val="18"/>
      <w:lang w:val="pt-PT"/>
    </w:rPr>
  </w:style>
  <w:style w:type="paragraph" w:customStyle="1" w:styleId="NormalCenter12a">
    <w:name w:val="NormalCenter12a"/>
    <w:basedOn w:val="Normal"/>
    <w:rsid w:val="00E12813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E12813"/>
    <w:pPr>
      <w:spacing w:before="720" w:after="240"/>
      <w:jc w:val="center"/>
    </w:pPr>
  </w:style>
  <w:style w:type="character" w:styleId="Hyperlink">
    <w:name w:val="Hyperlink"/>
    <w:unhideWhenUsed/>
    <w:rsid w:val="00E12813"/>
    <w:rPr>
      <w:color w:val="0000FF"/>
      <w:u w:val="single"/>
    </w:rPr>
  </w:style>
  <w:style w:type="paragraph" w:customStyle="1" w:styleId="Text1">
    <w:name w:val="Text 1"/>
    <w:basedOn w:val="Normal"/>
    <w:rsid w:val="00E12813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E12813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12813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E12813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12813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E12813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E12813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12813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12813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12813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E12813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E12813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12813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E12813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E12813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Marker00000000000000000000000">
    <w:name w:val="Marker00000000000000000000000"/>
    <w:basedOn w:val="DefaultParagraphFont"/>
    <w:rsid w:val="00E12813"/>
    <w:rPr>
      <w:color w:val="0000FF"/>
    </w:rPr>
  </w:style>
  <w:style w:type="character" w:customStyle="1" w:styleId="Marker000000000000000000000000">
    <w:name w:val="Marker000000000000000000000000"/>
    <w:basedOn w:val="DefaultParagraphFont"/>
    <w:rsid w:val="00E12813"/>
    <w:rPr>
      <w:color w:val="0000FF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E12813"/>
    <w:rPr>
      <w:color w:val="008000"/>
    </w:rPr>
  </w:style>
  <w:style w:type="character" w:customStyle="1" w:styleId="Marker100000000000000000000000000000000000000000000">
    <w:name w:val="Marker100000000000000000000000000000000000000000000"/>
    <w:basedOn w:val="DefaultParagraphFont"/>
    <w:rsid w:val="00E12813"/>
    <w:rPr>
      <w:color w:val="008000"/>
    </w:rPr>
  </w:style>
  <w:style w:type="character" w:customStyle="1" w:styleId="italic1">
    <w:name w:val="italic1"/>
    <w:basedOn w:val="DefaultParagraphFont"/>
    <w:rsid w:val="00E12813"/>
    <w:rPr>
      <w:i/>
      <w:iCs/>
    </w:rPr>
  </w:style>
  <w:style w:type="paragraph" w:styleId="ListParagraph">
    <w:name w:val="List Paragraph"/>
    <w:basedOn w:val="Normal"/>
    <w:uiPriority w:val="34"/>
    <w:qFormat/>
    <w:rsid w:val="00E12813"/>
    <w:pPr>
      <w:ind w:left="720"/>
      <w:contextualSpacing/>
    </w:pPr>
  </w:style>
  <w:style w:type="paragraph" w:customStyle="1" w:styleId="Normal12a">
    <w:name w:val="Normal12a"/>
    <w:basedOn w:val="Normal"/>
    <w:rsid w:val="00E12813"/>
    <w:pPr>
      <w:spacing w:after="240"/>
    </w:pPr>
  </w:style>
  <w:style w:type="paragraph" w:customStyle="1" w:styleId="PageHeadingNotTOC">
    <w:name w:val="PageHeadingNotTOC"/>
    <w:basedOn w:val="Normal"/>
    <w:rsid w:val="00E1281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E1281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rsid w:val="00E12813"/>
    <w:pPr>
      <w:spacing w:after="480"/>
    </w:pPr>
  </w:style>
  <w:style w:type="paragraph" w:customStyle="1" w:styleId="RollCallSymbols14pt">
    <w:name w:val="RollCallSymbols14pt"/>
    <w:basedOn w:val="Normal"/>
    <w:rsid w:val="00E1281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E1281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E1281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E12813"/>
    <w:pPr>
      <w:spacing w:before="120" w:after="120"/>
    </w:pPr>
    <w:rPr>
      <w:snapToGrid w:val="0"/>
      <w:sz w:val="16"/>
      <w:lang w:eastAsia="en-US"/>
    </w:rPr>
  </w:style>
  <w:style w:type="paragraph" w:customStyle="1" w:styleId="LetterSalutation">
    <w:name w:val="LetterSalutation"/>
    <w:basedOn w:val="Normal"/>
    <w:rsid w:val="00E12813"/>
    <w:pPr>
      <w:spacing w:before="600" w:after="360"/>
    </w:pPr>
  </w:style>
  <w:style w:type="paragraph" w:customStyle="1" w:styleId="NormalBoldCenter">
    <w:name w:val="NormalBoldCenter"/>
    <w:basedOn w:val="Normal"/>
    <w:rsid w:val="00E12813"/>
    <w:pPr>
      <w:jc w:val="center"/>
    </w:pPr>
    <w:rPr>
      <w:b/>
    </w:rPr>
  </w:style>
  <w:style w:type="paragraph" w:customStyle="1" w:styleId="LetterSubject">
    <w:name w:val="LetterSubject"/>
    <w:basedOn w:val="Normal"/>
    <w:rsid w:val="00E12813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E12813"/>
    <w:pPr>
      <w:spacing w:before="1320"/>
    </w:pPr>
  </w:style>
  <w:style w:type="character" w:styleId="Emphasis">
    <w:name w:val="Emphasis"/>
    <w:basedOn w:val="DefaultParagraphFont"/>
    <w:uiPriority w:val="20"/>
    <w:qFormat/>
    <w:rsid w:val="00E12813"/>
    <w:rPr>
      <w:i/>
      <w:iCs/>
    </w:rPr>
  </w:style>
  <w:style w:type="paragraph" w:styleId="Footer">
    <w:name w:val="footer"/>
    <w:basedOn w:val="Normal"/>
    <w:link w:val="FooterChar"/>
    <w:uiPriority w:val="99"/>
    <w:rsid w:val="00E128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813"/>
    <w:rPr>
      <w:sz w:val="24"/>
      <w:lang w:val="pt-PT"/>
    </w:rPr>
  </w:style>
  <w:style w:type="paragraph" w:customStyle="1" w:styleId="AmDocTypeTab">
    <w:name w:val="AmDocTypeTab"/>
    <w:basedOn w:val="Normal"/>
    <w:rsid w:val="007B1297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7B1297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7B1297"/>
  </w:style>
  <w:style w:type="paragraph" w:customStyle="1" w:styleId="TOC11">
    <w:name w:val="TOC 11"/>
    <w:basedOn w:val="Normal"/>
    <w:next w:val="Normal"/>
    <w:uiPriority w:val="39"/>
    <w:semiHidden/>
    <w:unhideWhenUsed/>
    <w:rsid w:val="007B129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7B129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7B129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7B129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7B1297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7B1297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7B1297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7B129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7B129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7B1297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7B1297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7B1297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7B1297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7B1297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7B1297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7B1297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7B129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7B129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7B129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7B129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7B129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7B129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7B129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7B129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7B129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7B1297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7B129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7B1297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7B129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7B129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7B129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7B129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7B129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7B129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7B129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7B129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7B129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7B129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7B1297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7B1297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7B1297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7B1297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7B1297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7B1297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7B1297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7B1297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7B1297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7B1297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7B1297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7B1297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7B1297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7B1297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7B1297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7B1297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7B1297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7B1297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7B1297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7B1297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7B1297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7B1297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7B1297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7B1297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7B1297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7B1297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7B1297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7B1297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7B129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7B129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7B129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7B129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7B129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7B129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7B129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7B1297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7B129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7B129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7B129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7B129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7B129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7B129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7B1297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7B1297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7B1297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7B1297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7B1297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7B1297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7B1297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7B1297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7B1297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7B1297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7B1297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7B1297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7B1297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7B1297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7B1297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7B1297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7B1297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7B1297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7B1297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7B1297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7B1297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7B129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7B129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Considrant">
    <w:name w:val="Considérant"/>
    <w:basedOn w:val="Normal"/>
    <w:rsid w:val="007B1297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7B1297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B1297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7B1297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7B129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7B129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7B1297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7B1297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7B1297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7B1297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7B1297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7B129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7B1297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7B129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7B1297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7B129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7B1297"/>
    <w:pPr>
      <w:spacing w:before="240"/>
    </w:pPr>
  </w:style>
  <w:style w:type="paragraph" w:customStyle="1" w:styleId="Accordtitre">
    <w:name w:val="Accord titre"/>
    <w:basedOn w:val="Normal"/>
    <w:rsid w:val="007B1297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7B1297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7B1297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7B1297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7B1297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7B1297"/>
    <w:pPr>
      <w:spacing w:after="240"/>
    </w:pPr>
  </w:style>
  <w:style w:type="paragraph" w:customStyle="1" w:styleId="Annexetitre">
    <w:name w:val="Annexe titre"/>
    <w:basedOn w:val="Normal"/>
    <w:next w:val="Normal"/>
    <w:rsid w:val="007B129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7B1297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7B1297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7B1297"/>
  </w:style>
  <w:style w:type="character" w:styleId="EndnoteReference">
    <w:name w:val="endnote reference"/>
    <w:basedOn w:val="DefaultParagraphFont"/>
    <w:uiPriority w:val="99"/>
    <w:unhideWhenUsed/>
    <w:rsid w:val="007B1297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7B129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7B129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7B129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7B129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7B1297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7B129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7B129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7B129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7B129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7B129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7B129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7B129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7B129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7B129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7B129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7B129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7B129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7B129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7B129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7B129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7B129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7B129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7B129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7B1297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7B129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7B129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7B1297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pt-PT" w:eastAsia="en-US"/>
    </w:rPr>
  </w:style>
  <w:style w:type="paragraph" w:customStyle="1" w:styleId="CommentFwdQuotedText">
    <w:name w:val="CommentFwdQuotedText"/>
    <w:basedOn w:val="Normal"/>
    <w:rsid w:val="007B1297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7B1297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7B1297"/>
    <w:rPr>
      <w:b/>
      <w:i/>
    </w:rPr>
  </w:style>
  <w:style w:type="character" w:customStyle="1" w:styleId="diff-tte-removed">
    <w:name w:val="diff-tte-removed"/>
    <w:basedOn w:val="DefaultParagraphFont"/>
    <w:rsid w:val="007B1297"/>
    <w:rPr>
      <w:strike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7B1297"/>
    <w:pPr>
      <w:widowControl/>
    </w:pPr>
    <w:rPr>
      <w:rFonts w:ascii="Segoe UI" w:hAnsi="Segoe UI" w:cs="Segoe UI"/>
      <w:sz w:val="18"/>
      <w:szCs w:val="18"/>
      <w:lang w:val="en-GB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7B1297"/>
    <w:pPr>
      <w:widowControl/>
      <w:spacing w:before="120" w:after="120"/>
    </w:pPr>
    <w:rPr>
      <w:sz w:val="20"/>
      <w:lang w:val="en-GB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7B1297"/>
    <w:pPr>
      <w:widowControl/>
      <w:spacing w:before="120" w:after="120"/>
    </w:pPr>
    <w:rPr>
      <w:rFonts w:eastAsia="Calibri"/>
      <w:b/>
      <w:bCs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7B129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7B1297"/>
    <w:pPr>
      <w:widowControl/>
      <w:spacing w:before="100" w:beforeAutospacing="1" w:after="100" w:afterAutospacing="1"/>
    </w:pPr>
    <w:rPr>
      <w:szCs w:val="24"/>
    </w:rPr>
  </w:style>
  <w:style w:type="paragraph" w:customStyle="1" w:styleId="Revision1">
    <w:name w:val="Revision1"/>
    <w:next w:val="Revision"/>
    <w:hidden/>
    <w:uiPriority w:val="99"/>
    <w:semiHidden/>
    <w:rsid w:val="007B1297"/>
    <w:rPr>
      <w:rFonts w:eastAsia="Calibri"/>
      <w:sz w:val="24"/>
      <w:szCs w:val="22"/>
      <w:lang w:val="pt-PT" w:eastAsia="en-US"/>
    </w:rPr>
  </w:style>
  <w:style w:type="paragraph" w:styleId="EndnoteText">
    <w:name w:val="endnote text"/>
    <w:basedOn w:val="Normal"/>
    <w:link w:val="EndnoteTextChar1"/>
    <w:rsid w:val="007B1297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7B1297"/>
    <w:rPr>
      <w:lang w:val="pt-PT"/>
    </w:rPr>
  </w:style>
  <w:style w:type="character" w:customStyle="1" w:styleId="BalloonTextChar1">
    <w:name w:val="Balloon Text Char1"/>
    <w:basedOn w:val="DefaultParagraphFont"/>
    <w:rsid w:val="007B1297"/>
    <w:rPr>
      <w:rFonts w:ascii="Segoe UI" w:hAnsi="Segoe UI" w:cs="Segoe UI"/>
      <w:sz w:val="18"/>
      <w:szCs w:val="18"/>
      <w:lang w:val="pt-PT"/>
    </w:rPr>
  </w:style>
  <w:style w:type="character" w:customStyle="1" w:styleId="CommentTextChar1">
    <w:name w:val="Comment Text Char1"/>
    <w:basedOn w:val="DefaultParagraphFont"/>
    <w:rsid w:val="007B1297"/>
    <w:rPr>
      <w:lang w:val="pt-PT"/>
    </w:rPr>
  </w:style>
  <w:style w:type="character" w:customStyle="1" w:styleId="CommentSubjectChar1">
    <w:name w:val="Comment Subject Char1"/>
    <w:basedOn w:val="CommentTextChar1"/>
    <w:rsid w:val="007B1297"/>
    <w:rPr>
      <w:b/>
      <w:bCs/>
      <w:lang w:val="pt-PT"/>
    </w:rPr>
  </w:style>
  <w:style w:type="paragraph" w:styleId="Revision">
    <w:name w:val="Revision"/>
    <w:hidden/>
    <w:uiPriority w:val="99"/>
    <w:semiHidden/>
    <w:rsid w:val="007B1297"/>
    <w:rPr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32928-1CD1-485D-92C2-DC19C832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541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SEMEDO Teresa</dc:creator>
  <cp:keywords/>
  <cp:lastModifiedBy>MARTINSIsabelAlex</cp:lastModifiedBy>
  <cp:revision>2</cp:revision>
  <cp:lastPrinted>2004-11-19T15:42:00Z</cp:lastPrinted>
  <dcterms:created xsi:type="dcterms:W3CDTF">2024-09-25T08:43:00Z</dcterms:created>
  <dcterms:modified xsi:type="dcterms:W3CDTF">2024-09-25T08:43:00Z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P9_TA(2024)0343_</vt:lpwstr>
  </property>
  <property fmtid="{D5CDD505-2E9C-101B-9397-08002B2CF9AE}" pid="4" name="&lt;Type&gt;">
    <vt:lpwstr>RR</vt:lpwstr>
  </property>
</Properties>
</file>