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82A8C" w:rsidRPr="007C59FD" w:rsidTr="00AB2704">
        <w:trPr>
          <w:trHeight w:hRule="exact" w:val="1418"/>
        </w:trPr>
        <w:tc>
          <w:tcPr>
            <w:tcW w:w="6804" w:type="dxa"/>
            <w:shd w:val="clear" w:color="auto" w:fill="auto"/>
            <w:vAlign w:val="center"/>
          </w:tcPr>
          <w:p w:rsidR="00A82A8C" w:rsidRPr="007C59FD" w:rsidRDefault="00A82A8C" w:rsidP="00A82A8C">
            <w:pPr>
              <w:widowControl w:val="0"/>
              <w:spacing w:before="80" w:after="80"/>
              <w:jc w:val="left"/>
              <w:rPr>
                <w:rFonts w:ascii="Arial Narrow" w:eastAsia="Times New Roman" w:hAnsi="Arial Narrow" w:cs="Arial"/>
                <w:b/>
                <w:sz w:val="32"/>
                <w:szCs w:val="22"/>
                <w:lang w:val="it-IT" w:eastAsia="en-GB"/>
              </w:rPr>
            </w:pPr>
            <w:bookmarkStart w:id="0" w:name="_GoBack"/>
            <w:bookmarkEnd w:id="0"/>
            <w:r w:rsidRPr="007C59FD">
              <w:rPr>
                <w:rFonts w:ascii="Arial Narrow" w:eastAsia="Times New Roman" w:hAnsi="Arial Narrow" w:cs="Arial"/>
                <w:b/>
                <w:sz w:val="32"/>
                <w:szCs w:val="22"/>
                <w:lang w:val="it-IT" w:eastAsia="en-GB"/>
              </w:rPr>
              <w:t>Parlamento europeo</w:t>
            </w:r>
          </w:p>
          <w:p w:rsidR="00A82A8C" w:rsidRPr="007C59FD" w:rsidRDefault="00A82A8C" w:rsidP="00A82A8C">
            <w:pPr>
              <w:widowControl w:val="0"/>
              <w:spacing w:after="80"/>
              <w:jc w:val="left"/>
              <w:rPr>
                <w:rFonts w:ascii="Arial" w:eastAsia="Times New Roman" w:hAnsi="Arial" w:cs="Arial"/>
                <w:sz w:val="20"/>
                <w:szCs w:val="22"/>
                <w:lang w:val="it-IT" w:eastAsia="en-GB"/>
              </w:rPr>
            </w:pPr>
            <w:r w:rsidRPr="007C59FD">
              <w:rPr>
                <w:rFonts w:ascii="Arial" w:eastAsia="Times New Roman" w:hAnsi="Arial" w:cs="Arial"/>
                <w:sz w:val="20"/>
                <w:szCs w:val="22"/>
                <w:lang w:val="it-IT" w:eastAsia="en-GB"/>
              </w:rPr>
              <w:t>2019-2024</w:t>
            </w:r>
          </w:p>
        </w:tc>
        <w:tc>
          <w:tcPr>
            <w:tcW w:w="2268" w:type="dxa"/>
            <w:shd w:val="clear" w:color="auto" w:fill="auto"/>
          </w:tcPr>
          <w:p w:rsidR="00A82A8C" w:rsidRPr="007C59FD" w:rsidRDefault="00A82A8C" w:rsidP="00A82A8C">
            <w:pPr>
              <w:widowControl w:val="0"/>
              <w:jc w:val="right"/>
              <w:rPr>
                <w:rFonts w:eastAsia="Times New Roman"/>
                <w:szCs w:val="20"/>
                <w:lang w:val="it-IT" w:eastAsia="en-GB"/>
              </w:rPr>
            </w:pPr>
            <w:r w:rsidRPr="007C59FD">
              <w:rPr>
                <w:rFonts w:eastAsia="Times New Roman"/>
                <w:noProof/>
                <w:szCs w:val="20"/>
                <w:lang w:eastAsia="en-GB"/>
              </w:rPr>
              <w:drawing>
                <wp:inline distT="0" distB="0" distL="0" distR="0" wp14:anchorId="021B8532" wp14:editId="74D180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82A8C" w:rsidRPr="007C59FD" w:rsidRDefault="00A82A8C" w:rsidP="00A82A8C">
      <w:pPr>
        <w:widowControl w:val="0"/>
        <w:pBdr>
          <w:top w:val="single" w:sz="4" w:space="1" w:color="auto"/>
        </w:pBdr>
        <w:jc w:val="center"/>
        <w:rPr>
          <w:rFonts w:ascii="Arial" w:eastAsia="Times New Roman" w:hAnsi="Arial" w:cs="Arial"/>
          <w:sz w:val="16"/>
          <w:szCs w:val="16"/>
          <w:lang w:val="it-IT" w:eastAsia="en-GB"/>
        </w:rPr>
      </w:pPr>
    </w:p>
    <w:p w:rsidR="00A82A8C" w:rsidRPr="007C59FD" w:rsidRDefault="00A82A8C" w:rsidP="00A82A8C">
      <w:pPr>
        <w:widowControl w:val="0"/>
        <w:jc w:val="center"/>
        <w:rPr>
          <w:rFonts w:ascii="Arial" w:eastAsia="Times New Roman" w:hAnsi="Arial" w:cs="Arial"/>
          <w:b/>
          <w:sz w:val="22"/>
          <w:szCs w:val="22"/>
          <w:lang w:val="it-IT" w:eastAsia="en-GB"/>
        </w:rPr>
      </w:pPr>
      <w:r w:rsidRPr="007C59FD">
        <w:rPr>
          <w:rFonts w:ascii="Arial" w:eastAsia="Times New Roman" w:hAnsi="Arial" w:cs="Arial"/>
          <w:b/>
          <w:sz w:val="22"/>
          <w:szCs w:val="22"/>
          <w:lang w:val="it-IT" w:eastAsia="en-GB"/>
        </w:rPr>
        <w:t>TESTI APPROVATI</w:t>
      </w:r>
    </w:p>
    <w:p w:rsidR="00A82A8C" w:rsidRPr="007C59FD" w:rsidRDefault="00A82A8C" w:rsidP="00A82A8C">
      <w:pPr>
        <w:widowControl w:val="0"/>
        <w:pBdr>
          <w:bottom w:val="single" w:sz="4" w:space="1" w:color="auto"/>
        </w:pBdr>
        <w:spacing w:after="240"/>
        <w:jc w:val="center"/>
        <w:rPr>
          <w:rFonts w:ascii="Arial" w:eastAsia="Times New Roman" w:hAnsi="Arial" w:cs="Arial"/>
          <w:sz w:val="16"/>
          <w:szCs w:val="16"/>
          <w:lang w:val="it-IT" w:eastAsia="en-GB"/>
        </w:rPr>
      </w:pPr>
    </w:p>
    <w:p w:rsidR="007C59FD" w:rsidRPr="007C59FD" w:rsidRDefault="007C59FD" w:rsidP="007C59FD">
      <w:pPr>
        <w:pStyle w:val="ATHeading1"/>
      </w:pPr>
      <w:bookmarkStart w:id="1" w:name="TANumber"/>
      <w:r w:rsidRPr="007C59FD">
        <w:t>P9_</w:t>
      </w:r>
      <w:proofErr w:type="gramStart"/>
      <w:r w:rsidRPr="007C59FD">
        <w:t>TA(</w:t>
      </w:r>
      <w:proofErr w:type="gramEnd"/>
      <w:r w:rsidRPr="007C59FD">
        <w:t>2024)0</w:t>
      </w:r>
      <w:bookmarkEnd w:id="1"/>
      <w:r w:rsidRPr="007C59FD">
        <w:t>346</w:t>
      </w:r>
    </w:p>
    <w:p w:rsidR="007C59FD" w:rsidRPr="007C59FD" w:rsidRDefault="007C59FD" w:rsidP="007C59FD">
      <w:pPr>
        <w:pStyle w:val="ATHeading2"/>
      </w:pPr>
      <w:bookmarkStart w:id="2" w:name="title"/>
      <w:r w:rsidRPr="007C59FD">
        <w:t>Modifica del regolamento (UE) 2016/2031 relativo alle misure di protezione contro gli organismi nocivi per le piante</w:t>
      </w:r>
      <w:bookmarkEnd w:id="2"/>
    </w:p>
    <w:p w:rsidR="007C59FD" w:rsidRPr="007C59FD" w:rsidRDefault="007C59FD" w:rsidP="007C59FD">
      <w:pPr>
        <w:rPr>
          <w:i/>
          <w:vanish/>
          <w:lang w:val="it-IT"/>
        </w:rPr>
      </w:pPr>
      <w:r w:rsidRPr="007C59FD">
        <w:rPr>
          <w:i/>
        </w:rPr>
        <w:fldChar w:fldCharType="begin"/>
      </w:r>
      <w:r w:rsidRPr="007C59FD">
        <w:rPr>
          <w:i/>
          <w:lang w:val="it-IT"/>
        </w:rPr>
        <w:instrText xml:space="preserve"> TC"(</w:instrText>
      </w:r>
      <w:bookmarkStart w:id="3" w:name="DocNumber"/>
      <w:r w:rsidRPr="007C59FD">
        <w:rPr>
          <w:i/>
          <w:lang w:val="it-IT"/>
        </w:rPr>
        <w:instrText>A9-0035/2024</w:instrText>
      </w:r>
      <w:bookmarkEnd w:id="3"/>
      <w:r w:rsidRPr="007C59FD">
        <w:rPr>
          <w:i/>
          <w:lang w:val="it-IT"/>
        </w:rPr>
        <w:instrText xml:space="preserve"> - Relatrice: Clara Aguilera)"\l3 \n&gt; \* MERGEFORMAT </w:instrText>
      </w:r>
      <w:r w:rsidRPr="007C59FD">
        <w:rPr>
          <w:i/>
        </w:rPr>
        <w:fldChar w:fldCharType="end"/>
      </w:r>
    </w:p>
    <w:p w:rsidR="007C59FD" w:rsidRPr="007C59FD" w:rsidRDefault="007C59FD" w:rsidP="007C59FD">
      <w:pPr>
        <w:rPr>
          <w:vanish/>
          <w:lang w:val="it-IT"/>
        </w:rPr>
      </w:pPr>
      <w:bookmarkStart w:id="4" w:name="Commission"/>
      <w:r w:rsidRPr="007C59FD">
        <w:rPr>
          <w:vanish/>
          <w:lang w:val="it-IT"/>
        </w:rPr>
        <w:t>Commissione per l'agricoltura e lo sviluppo rurale</w:t>
      </w:r>
      <w:bookmarkEnd w:id="4"/>
    </w:p>
    <w:p w:rsidR="007C59FD" w:rsidRPr="007C59FD" w:rsidRDefault="007C59FD" w:rsidP="007C59FD">
      <w:pPr>
        <w:rPr>
          <w:vanish/>
          <w:lang w:val="it-IT"/>
        </w:rPr>
      </w:pPr>
      <w:bookmarkStart w:id="5" w:name="PE"/>
      <w:r w:rsidRPr="007C59FD">
        <w:rPr>
          <w:vanish/>
          <w:lang w:val="it-IT"/>
        </w:rPr>
        <w:t>PE758.002</w:t>
      </w:r>
      <w:bookmarkEnd w:id="5"/>
    </w:p>
    <w:p w:rsidR="007C59FD" w:rsidRPr="007C59FD" w:rsidRDefault="007C59FD" w:rsidP="007C59FD">
      <w:pPr>
        <w:pStyle w:val="ATHeading3"/>
      </w:pPr>
      <w:bookmarkStart w:id="6" w:name="Sujet"/>
      <w:r w:rsidRPr="007C59FD">
        <w:t>Risoluzione legislativa del Parlamento europeo del 24 aprile 2024 sulla proposta di regolamento del Parlamento europeo e del Consiglio che modifica il regolamento (UE) 2016/2031 del Parlamento europeo e del Consiglio per quanto riguarda i programmi d'indagine pluriennali, le notifiche relative alla presenza di organismi nocivi regolamentati non da quarantena, le deroghe temporanee ai divieti di importazione e alle prescrizioni particolari per l'importazione e la definizione di procedure per la loro concessione, le prescrizioni temporanee per l'importazione di piante, prodotti vegetali e altri oggetti ad alto rischio, la definizione di procedure per la redazione di un elenco delle piante ad alto rischio, il contenuto dei certificati fitosanitari, l'uso dei passaporti delle piante e per quanto riguarda talune prescrizioni in materia di comunicazione per le aree delimitate e le indagini sugli organismi nocivi</w:t>
      </w:r>
      <w:bookmarkEnd w:id="6"/>
      <w:r w:rsidRPr="007C59FD">
        <w:t xml:space="preserve"> </w:t>
      </w:r>
      <w:bookmarkStart w:id="7" w:name="References"/>
      <w:r w:rsidRPr="007C59FD">
        <w:t>(</w:t>
      </w:r>
      <w:proofErr w:type="gramStart"/>
      <w:r w:rsidRPr="007C59FD">
        <w:t>COM(</w:t>
      </w:r>
      <w:proofErr w:type="gramEnd"/>
      <w:r w:rsidRPr="007C59FD">
        <w:t>2023)0661 – C9-0391/2023 – 2023/0378(COD))</w:t>
      </w:r>
      <w:bookmarkEnd w:id="7"/>
    </w:p>
    <w:p w:rsidR="007C59FD" w:rsidRPr="007C59FD" w:rsidRDefault="007C59FD" w:rsidP="007C59FD">
      <w:pPr>
        <w:pStyle w:val="NormalBold"/>
        <w:spacing w:before="480"/>
      </w:pPr>
      <w:bookmarkStart w:id="8" w:name="TextBodyBegin"/>
      <w:bookmarkEnd w:id="8"/>
      <w:r w:rsidRPr="007C59FD">
        <w:t>(Procedura legislativa ordinaria: prima lettura)</w:t>
      </w:r>
    </w:p>
    <w:p w:rsidR="007C59FD" w:rsidRPr="007C59FD" w:rsidRDefault="007C59FD" w:rsidP="007C59FD">
      <w:pPr>
        <w:pStyle w:val="EPComma"/>
      </w:pPr>
      <w:r w:rsidRPr="007C59FD">
        <w:rPr>
          <w:i/>
        </w:rPr>
        <w:t>Il Parlamento europeo</w:t>
      </w:r>
      <w:r w:rsidRPr="007C59FD">
        <w:t>,</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w:t>
      </w:r>
      <w:r w:rsidRPr="007C59FD">
        <w:rPr>
          <w:rFonts w:eastAsia="Times New Roman"/>
          <w:szCs w:val="20"/>
          <w:lang w:val="it-IT" w:eastAsia="en-GB"/>
        </w:rPr>
        <w:tab/>
        <w:t>vista la proposta della Commissione al Parlamento europeo e al Consiglio (</w:t>
      </w:r>
      <w:proofErr w:type="gramStart"/>
      <w:r w:rsidRPr="007C59FD">
        <w:rPr>
          <w:rFonts w:eastAsia="Times New Roman"/>
          <w:szCs w:val="20"/>
          <w:lang w:val="it-IT" w:eastAsia="en-GB"/>
        </w:rPr>
        <w:t>COM(</w:t>
      </w:r>
      <w:proofErr w:type="gramEnd"/>
      <w:r w:rsidRPr="007C59FD">
        <w:rPr>
          <w:rFonts w:eastAsia="Times New Roman"/>
          <w:szCs w:val="20"/>
          <w:lang w:val="it-IT" w:eastAsia="en-GB"/>
        </w:rPr>
        <w:t>2023)0661),</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w:t>
      </w:r>
      <w:r w:rsidRPr="007C59FD">
        <w:rPr>
          <w:rFonts w:eastAsia="Times New Roman"/>
          <w:szCs w:val="20"/>
          <w:lang w:val="it-IT" w:eastAsia="en-GB"/>
        </w:rPr>
        <w:tab/>
        <w:t>visti l'articolo 294, paragrafo 2, e l'articolo 43, paragrafo 2, del trattato sul funzionamento dell'Unione europea, a norma dei quali la proposta gli è stata presentata dalla Commissione (C9</w:t>
      </w:r>
      <w:r w:rsidRPr="007C59FD">
        <w:rPr>
          <w:rFonts w:eastAsia="Times New Roman"/>
          <w:szCs w:val="20"/>
          <w:lang w:val="it-IT" w:eastAsia="en-GB"/>
        </w:rPr>
        <w:noBreakHyphen/>
        <w:t>0391/2023),</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w:t>
      </w:r>
      <w:r w:rsidRPr="007C59FD">
        <w:rPr>
          <w:rFonts w:eastAsia="Times New Roman"/>
          <w:szCs w:val="20"/>
          <w:lang w:val="it-IT" w:eastAsia="en-GB"/>
        </w:rPr>
        <w:tab/>
        <w:t>visto l'articolo 294, paragrafo 3, del trattato sul funzionamento dell'Unione europea,</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w:t>
      </w:r>
      <w:r w:rsidRPr="007C59FD">
        <w:rPr>
          <w:rFonts w:eastAsia="Times New Roman"/>
          <w:szCs w:val="20"/>
          <w:lang w:val="it-IT" w:eastAsia="en-GB"/>
        </w:rPr>
        <w:tab/>
        <w:t>visto il parere del Comitato economico e sociale europeo del 13 dicembre 2023</w:t>
      </w:r>
      <w:r w:rsidRPr="007C59FD">
        <w:rPr>
          <w:rFonts w:eastAsia="Times New Roman"/>
          <w:szCs w:val="20"/>
          <w:vertAlign w:val="superscript"/>
          <w:lang w:val="it-IT" w:eastAsia="en-GB"/>
        </w:rPr>
        <w:footnoteReference w:id="1"/>
      </w:r>
      <w:r w:rsidRPr="007C59FD">
        <w:rPr>
          <w:rFonts w:eastAsia="Times New Roman"/>
          <w:szCs w:val="20"/>
          <w:lang w:val="it-IT" w:eastAsia="en-GB"/>
        </w:rPr>
        <w:t>,</w:t>
      </w:r>
    </w:p>
    <w:p w:rsidR="00A82A8C" w:rsidRPr="007C59FD" w:rsidRDefault="00A82A8C" w:rsidP="00A82A8C">
      <w:pPr>
        <w:widowControl w:val="0"/>
        <w:spacing w:after="240"/>
        <w:ind w:left="567" w:hanging="567"/>
        <w:jc w:val="left"/>
        <w:rPr>
          <w:rFonts w:eastAsia="Times New Roman"/>
          <w:snapToGrid w:val="0"/>
          <w:szCs w:val="20"/>
          <w:lang w:val="it-IT" w:eastAsia="en-GB"/>
        </w:rPr>
      </w:pPr>
      <w:r w:rsidRPr="007C59FD">
        <w:rPr>
          <w:rFonts w:eastAsia="Times New Roman"/>
          <w:snapToGrid w:val="0"/>
          <w:szCs w:val="20"/>
          <w:lang w:val="it-IT" w:eastAsia="en-GB"/>
        </w:rPr>
        <w:t>–</w:t>
      </w:r>
      <w:r w:rsidRPr="007C59FD">
        <w:rPr>
          <w:rFonts w:eastAsia="Times New Roman"/>
          <w:snapToGrid w:val="0"/>
          <w:szCs w:val="20"/>
          <w:lang w:val="it-IT" w:eastAsia="en-GB"/>
        </w:rPr>
        <w:tab/>
        <w:t xml:space="preserve">visti l'accordo provvisorio approvato dalla commissione competente a norma dell'articolo 74, paragrafo 4, del regolamento e l'impegno assunto dal rappresentante del </w:t>
      </w:r>
      <w:r w:rsidRPr="007C59FD">
        <w:rPr>
          <w:rFonts w:eastAsia="Times New Roman"/>
          <w:snapToGrid w:val="0"/>
          <w:szCs w:val="20"/>
          <w:lang w:val="it-IT" w:eastAsia="en-GB"/>
        </w:rPr>
        <w:lastRenderedPageBreak/>
        <w:t>Consiglio, con lettera del 13 marzo 2024, di approvare la posizione del Parlamento europeo, in conformità dell'articolo 294, paragrafo 4, del trattato sul funzionamento dell'Unione europea,</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w:t>
      </w:r>
      <w:r w:rsidRPr="007C59FD">
        <w:rPr>
          <w:rFonts w:eastAsia="Times New Roman"/>
          <w:szCs w:val="20"/>
          <w:lang w:val="it-IT" w:eastAsia="en-GB"/>
        </w:rPr>
        <w:tab/>
        <w:t>visto l'articolo 59 del suo regolamento,</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w:t>
      </w:r>
      <w:r w:rsidRPr="007C59FD">
        <w:rPr>
          <w:rFonts w:eastAsia="Times New Roman"/>
          <w:szCs w:val="20"/>
          <w:lang w:val="it-IT" w:eastAsia="en-GB"/>
        </w:rPr>
        <w:tab/>
        <w:t>vista la relazione della commissione per l'agricoltura e lo sviluppo rurale (A9</w:t>
      </w:r>
      <w:r w:rsidRPr="007C59FD">
        <w:rPr>
          <w:rFonts w:eastAsia="Times New Roman"/>
          <w:szCs w:val="20"/>
          <w:lang w:val="it-IT" w:eastAsia="en-GB"/>
        </w:rPr>
        <w:noBreakHyphen/>
        <w:t>0035/2024),</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1.</w:t>
      </w:r>
      <w:r w:rsidRPr="007C59FD">
        <w:rPr>
          <w:rFonts w:eastAsia="Times New Roman"/>
          <w:szCs w:val="20"/>
          <w:lang w:val="it-IT" w:eastAsia="en-GB"/>
        </w:rPr>
        <w:tab/>
        <w:t>adotta la posizione in prima lettura figurante in appresso;</w:t>
      </w:r>
    </w:p>
    <w:p w:rsidR="00A82A8C" w:rsidRPr="007C59FD" w:rsidRDefault="00A82A8C" w:rsidP="00A82A8C">
      <w:pPr>
        <w:widowControl w:val="0"/>
        <w:spacing w:after="240"/>
        <w:ind w:left="567" w:hanging="567"/>
        <w:jc w:val="left"/>
        <w:rPr>
          <w:rFonts w:eastAsia="Times New Roman"/>
          <w:szCs w:val="20"/>
          <w:lang w:val="it-IT" w:eastAsia="en-GB"/>
        </w:rPr>
      </w:pPr>
      <w:r w:rsidRPr="007C59FD">
        <w:rPr>
          <w:rFonts w:eastAsia="Times New Roman"/>
          <w:szCs w:val="20"/>
          <w:lang w:val="it-IT" w:eastAsia="en-GB"/>
        </w:rPr>
        <w:t>2.</w:t>
      </w:r>
      <w:r w:rsidRPr="007C59FD">
        <w:rPr>
          <w:rFonts w:eastAsia="Times New Roman"/>
          <w:szCs w:val="20"/>
          <w:lang w:val="it-IT" w:eastAsia="en-GB"/>
        </w:rPr>
        <w:tab/>
        <w:t>chiede alla Commissione di presentargli nuovamente la proposta qualora la sostituisca, la modifichi sostanzialmente o intenda modificarla sostanzialmente;</w:t>
      </w:r>
    </w:p>
    <w:p w:rsidR="00A82A8C" w:rsidRPr="007C59FD" w:rsidRDefault="00A82A8C" w:rsidP="00A82A8C">
      <w:pPr>
        <w:ind w:left="567" w:hanging="567"/>
        <w:rPr>
          <w:lang w:val="it-IT"/>
        </w:rPr>
        <w:sectPr w:rsidR="00A82A8C" w:rsidRPr="007C59FD">
          <w:footnotePr>
            <w:numRestart w:val="eachSect"/>
          </w:footnotePr>
          <w:pgSz w:w="11906" w:h="16838"/>
          <w:pgMar w:top="1440" w:right="1440" w:bottom="1440" w:left="1440" w:header="708" w:footer="708" w:gutter="0"/>
          <w:cols w:space="708"/>
          <w:docGrid w:linePitch="360"/>
        </w:sectPr>
      </w:pPr>
      <w:r w:rsidRPr="007C59FD">
        <w:rPr>
          <w:rFonts w:eastAsia="Times New Roman"/>
          <w:szCs w:val="20"/>
          <w:lang w:val="it-IT" w:eastAsia="en-GB"/>
        </w:rPr>
        <w:t>3.</w:t>
      </w:r>
      <w:r w:rsidRPr="007C59FD">
        <w:rPr>
          <w:rFonts w:eastAsia="Times New Roman"/>
          <w:szCs w:val="20"/>
          <w:lang w:val="it-IT" w:eastAsia="en-GB"/>
        </w:rPr>
        <w:tab/>
        <w:t>incarica la sua Presidente di trasmettere la posizione del Parlamento al Consiglio e alla Commissione nonché ai parlamenti nazionali.</w:t>
      </w:r>
    </w:p>
    <w:p w:rsidR="00A82A8C" w:rsidRPr="007C59FD" w:rsidRDefault="00A82A8C" w:rsidP="00A82A8C">
      <w:pPr>
        <w:spacing w:after="240"/>
        <w:jc w:val="left"/>
        <w:rPr>
          <w:b/>
          <w:lang w:val="it-IT"/>
        </w:rPr>
      </w:pPr>
      <w:r w:rsidRPr="007C59FD">
        <w:rPr>
          <w:b/>
          <w:lang w:val="it-IT"/>
        </w:rPr>
        <w:lastRenderedPageBreak/>
        <w:t>P9_TC1-COD(2023)0378</w:t>
      </w:r>
    </w:p>
    <w:p w:rsidR="008765BE" w:rsidRPr="007C59FD" w:rsidRDefault="00A82A8C" w:rsidP="007C59FD">
      <w:pPr>
        <w:spacing w:before="120" w:after="360"/>
        <w:jc w:val="left"/>
        <w:rPr>
          <w:rFonts w:eastAsia="Times New Roman"/>
          <w:b/>
          <w:lang w:val="it-IT"/>
        </w:rPr>
      </w:pPr>
      <w:r w:rsidRPr="007C59FD">
        <w:rPr>
          <w:b/>
          <w:lang w:val="it-IT"/>
        </w:rPr>
        <w:t xml:space="preserve">Posizione del Parlamento europeo definita in prima lettura il 24 aprile 2024 in vista dell'adozione del regolamento (UE) 2024/... del Parlamento europeo e del Consiglio </w:t>
      </w:r>
      <w:r w:rsidRPr="007C59FD">
        <w:rPr>
          <w:rFonts w:eastAsia="Times New Roman"/>
          <w:b/>
          <w:lang w:val="it-IT"/>
        </w:rPr>
        <w:t>che modifica il regolamento (UE) 2016/2031 per quanto riguarda i programmi d'indagine pluriennali, le notifiche relative alla presenza di organismi nocivi regolamentati non da quarantena, le deroghe temporanee ai divieti di importazione e alle prescrizioni particolari per l'importazione e la definizione di procedure per la loro concessione, le prescrizioni temporanee per l'importazione di piante, prodotti vegetali e altri oggetti ad alto rischio, la definizione di procedure per la redazione di un elenco delle piante ad alto rischio, il contenuto dei certificati fitosanitari, e l'uso dei passaporti delle piante e per quanto riguarda talune prescrizioni in materia di comunicazione per le aree delimitate e le indagini sugli organismi nocivi e che modifica il regolamento (UE) 2017/625 per quanto riguarda determinate notifiche di non conformità</w:t>
      </w:r>
    </w:p>
    <w:p w:rsidR="007C59FD" w:rsidRPr="007C59FD" w:rsidRDefault="007C59FD" w:rsidP="007C59FD">
      <w:pPr>
        <w:rPr>
          <w:lang w:val="it-IT"/>
        </w:rPr>
      </w:pPr>
      <w:r w:rsidRPr="007C59FD">
        <w:rPr>
          <w:i/>
          <w:lang w:val="it-IT"/>
        </w:rPr>
        <w:t>(Dato l'accordo tra il Parlamento e il Consiglio, la posizione del Parlamento corrisponde all'atto legislativo finale, il regolamento (UE) 202</w:t>
      </w:r>
      <w:r w:rsidRPr="007C59FD">
        <w:rPr>
          <w:i/>
          <w:lang w:val="it-IT"/>
        </w:rPr>
        <w:t>4</w:t>
      </w:r>
      <w:r w:rsidRPr="007C59FD">
        <w:rPr>
          <w:i/>
          <w:lang w:val="it-IT"/>
        </w:rPr>
        <w:t>/</w:t>
      </w:r>
      <w:r w:rsidRPr="007C59FD">
        <w:rPr>
          <w:i/>
          <w:lang w:val="it-IT"/>
        </w:rPr>
        <w:t>3115</w:t>
      </w:r>
      <w:r w:rsidRPr="007C59FD">
        <w:rPr>
          <w:i/>
          <w:lang w:val="it-IT"/>
        </w:rPr>
        <w:t>.)</w:t>
      </w:r>
    </w:p>
    <w:sectPr w:rsidR="007C59FD" w:rsidRPr="007C59FD">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A8C" w:rsidRDefault="00A82A8C" w:rsidP="00A82A8C">
      <w:r>
        <w:separator/>
      </w:r>
    </w:p>
  </w:endnote>
  <w:endnote w:type="continuationSeparator" w:id="0">
    <w:p w:rsidR="00A82A8C" w:rsidRDefault="00A82A8C" w:rsidP="00A8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A8C" w:rsidRDefault="00A82A8C" w:rsidP="00A82A8C">
      <w:r>
        <w:separator/>
      </w:r>
    </w:p>
  </w:footnote>
  <w:footnote w:type="continuationSeparator" w:id="0">
    <w:p w:rsidR="00A82A8C" w:rsidRDefault="00A82A8C" w:rsidP="00A82A8C">
      <w:r>
        <w:continuationSeparator/>
      </w:r>
    </w:p>
  </w:footnote>
  <w:footnote w:id="1">
    <w:p w:rsidR="00A82A8C" w:rsidRPr="00A82A8C" w:rsidRDefault="00A82A8C" w:rsidP="00A82A8C">
      <w:pPr>
        <w:pStyle w:val="FootnoteText"/>
        <w:ind w:left="851" w:hanging="851"/>
        <w:jc w:val="left"/>
        <w:rPr>
          <w:sz w:val="24"/>
          <w:szCs w:val="24"/>
          <w:lang w:val="fi-FI"/>
        </w:rPr>
      </w:pPr>
      <w:r w:rsidRPr="00A82A8C">
        <w:rPr>
          <w:rStyle w:val="FootnoteReference"/>
          <w:sz w:val="24"/>
          <w:szCs w:val="24"/>
        </w:rPr>
        <w:footnoteRef/>
      </w:r>
      <w:r w:rsidRPr="00A82A8C">
        <w:rPr>
          <w:sz w:val="24"/>
          <w:szCs w:val="24"/>
          <w:lang w:val="fi-FI"/>
        </w:rPr>
        <w:t xml:space="preserve"> </w:t>
      </w:r>
      <w:r w:rsidRPr="00A82A8C">
        <w:rPr>
          <w:sz w:val="24"/>
          <w:szCs w:val="24"/>
          <w:lang w:val="fi-FI"/>
        </w:rPr>
        <w:tab/>
      </w:r>
      <w:r w:rsidR="007C59FD">
        <w:rPr>
          <w:sz w:val="24"/>
          <w:szCs w:val="24"/>
          <w:lang w:val="fi-FI"/>
        </w:rPr>
        <w:t>GU</w:t>
      </w:r>
      <w:r w:rsidRPr="00A82A8C">
        <w:rPr>
          <w:sz w:val="24"/>
          <w:szCs w:val="24"/>
          <w:lang w:val="fi-FI"/>
        </w:rPr>
        <w:t xml:space="preserve"> C, C/2024/1588, 5.3.2024, ELI: </w:t>
      </w:r>
      <w:hyperlink r:id="rId1" w:history="1">
        <w:r w:rsidRPr="00A82A8C">
          <w:rPr>
            <w:rStyle w:val="Hyperlink"/>
            <w:sz w:val="24"/>
            <w:szCs w:val="24"/>
            <w:lang w:val="fi-FI"/>
          </w:rPr>
          <w:t>http://data.europa.eu/eli/C/2024/1588/oj</w:t>
        </w:r>
      </w:hyperlink>
      <w:r w:rsidRPr="00A82A8C">
        <w:rPr>
          <w:sz w:val="24"/>
          <w:szCs w:val="24"/>
          <w:lang w:val="fi-F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8C"/>
    <w:rsid w:val="0022102F"/>
    <w:rsid w:val="005762E3"/>
    <w:rsid w:val="007C59FD"/>
    <w:rsid w:val="008765BE"/>
    <w:rsid w:val="00886EA7"/>
    <w:rsid w:val="00A82A8C"/>
    <w:rsid w:val="00F05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3554"/>
  <w15:chartTrackingRefBased/>
  <w15:docId w15:val="{28F88AF4-E349-4B76-91F1-4461EE3E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Typedudocument">
    <w:name w:val="Type du document"/>
    <w:basedOn w:val="Normal"/>
    <w:next w:val="Normal"/>
    <w:rsid w:val="00A82A8C"/>
    <w:pPr>
      <w:spacing w:before="360"/>
      <w:jc w:val="center"/>
    </w:pPr>
    <w:rPr>
      <w:rFonts w:eastAsia="Times New Roman"/>
      <w:b/>
      <w:snapToGrid w:val="0"/>
      <w:szCs w:val="20"/>
      <w:lang w:val="it-IT" w:eastAsia="en-GB"/>
    </w:rPr>
  </w:style>
  <w:style w:type="paragraph" w:styleId="FootnoteText">
    <w:name w:val="footnote text"/>
    <w:basedOn w:val="Normal"/>
    <w:link w:val="FootnoteTextChar"/>
    <w:uiPriority w:val="99"/>
    <w:semiHidden/>
    <w:unhideWhenUsed/>
    <w:rsid w:val="00A82A8C"/>
    <w:rPr>
      <w:sz w:val="20"/>
      <w:szCs w:val="20"/>
    </w:rPr>
  </w:style>
  <w:style w:type="character" w:customStyle="1" w:styleId="FootnoteTextChar">
    <w:name w:val="Footnote Text Char"/>
    <w:basedOn w:val="DefaultParagraphFont"/>
    <w:link w:val="FootnoteText"/>
    <w:uiPriority w:val="99"/>
    <w:semiHidden/>
    <w:rsid w:val="00A82A8C"/>
    <w:rPr>
      <w:rFonts w:ascii="Times New Roman" w:hAnsi="Times New Roman"/>
      <w:sz w:val="20"/>
      <w:szCs w:val="20"/>
    </w:rPr>
  </w:style>
  <w:style w:type="character" w:styleId="FootnoteReference">
    <w:name w:val="footnote reference"/>
    <w:link w:val="ftrefCharCharCharCharCharCharCharCharChar"/>
    <w:uiPriority w:val="99"/>
    <w:rsid w:val="00A82A8C"/>
    <w:rPr>
      <w:vertAlign w:val="superscript"/>
    </w:rPr>
  </w:style>
  <w:style w:type="paragraph" w:customStyle="1" w:styleId="FootnoteTextForceStyle">
    <w:name w:val="Footnote Text ForceStyle"/>
    <w:rsid w:val="00A82A8C"/>
    <w:pPr>
      <w:keepLines/>
      <w:widowControl w:val="0"/>
      <w:ind w:left="850" w:hanging="850"/>
    </w:pPr>
    <w:rPr>
      <w:rFonts w:ascii="Times New Roman" w:eastAsia="Times New Roman" w:hAnsi="Times New Roman"/>
      <w:sz w:val="24"/>
      <w:szCs w:val="20"/>
      <w:lang w:val="it-IT"/>
    </w:rPr>
  </w:style>
  <w:style w:type="character" w:customStyle="1" w:styleId="Hyperlink1">
    <w:name w:val="Hyperlink1"/>
    <w:basedOn w:val="DefaultParagraphFont"/>
    <w:rsid w:val="00A82A8C"/>
    <w:rPr>
      <w:color w:val="0563C1"/>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A82A8C"/>
    <w:pPr>
      <w:spacing w:after="160" w:line="240" w:lineRule="exact"/>
      <w:jc w:val="left"/>
    </w:pPr>
    <w:rPr>
      <w:rFonts w:asciiTheme="minorHAnsi" w:hAnsiTheme="minorHAnsi"/>
      <w:sz w:val="22"/>
      <w:szCs w:val="22"/>
      <w:vertAlign w:val="superscript"/>
    </w:rPr>
  </w:style>
  <w:style w:type="character" w:styleId="Hyperlink">
    <w:name w:val="Hyperlink"/>
    <w:basedOn w:val="DefaultParagraphFont"/>
    <w:unhideWhenUsed/>
    <w:rsid w:val="00A82A8C"/>
    <w:rPr>
      <w:color w:val="0563C1" w:themeColor="hyperlink"/>
      <w:u w:val="single"/>
    </w:rPr>
  </w:style>
  <w:style w:type="paragraph" w:customStyle="1" w:styleId="ATHeading1">
    <w:name w:val="AT Heading 1"/>
    <w:basedOn w:val="Normal"/>
    <w:next w:val="Normal"/>
    <w:rsid w:val="007C59FD"/>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7C59FD"/>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7C59FD"/>
    <w:pPr>
      <w:keepNext/>
      <w:keepLines/>
      <w:spacing w:before="120" w:after="120"/>
      <w:jc w:val="left"/>
      <w:outlineLvl w:val="2"/>
    </w:pPr>
    <w:rPr>
      <w:rFonts w:eastAsia="Times New Roman"/>
      <w:b/>
      <w:szCs w:val="20"/>
      <w:lang w:val="it-IT" w:eastAsia="fr-FR"/>
    </w:rPr>
  </w:style>
  <w:style w:type="paragraph" w:customStyle="1" w:styleId="NormalBold">
    <w:name w:val="NormalBold"/>
    <w:basedOn w:val="Normal"/>
    <w:link w:val="NormalBoldChar"/>
    <w:rsid w:val="007C59FD"/>
    <w:pPr>
      <w:widowControl w:val="0"/>
      <w:jc w:val="left"/>
    </w:pPr>
    <w:rPr>
      <w:rFonts w:eastAsia="Times New Roman"/>
      <w:b/>
      <w:szCs w:val="20"/>
      <w:lang w:val="it-IT" w:eastAsia="en-GB"/>
    </w:rPr>
  </w:style>
  <w:style w:type="paragraph" w:customStyle="1" w:styleId="EPComma">
    <w:name w:val="EPComma"/>
    <w:basedOn w:val="Normal"/>
    <w:rsid w:val="007C59FD"/>
    <w:pPr>
      <w:widowControl w:val="0"/>
      <w:spacing w:before="480" w:after="240"/>
      <w:jc w:val="left"/>
    </w:pPr>
    <w:rPr>
      <w:rFonts w:eastAsia="Times New Roman"/>
      <w:szCs w:val="20"/>
      <w:lang w:val="it-IT" w:eastAsia="en-GB"/>
    </w:rPr>
  </w:style>
  <w:style w:type="character" w:customStyle="1" w:styleId="NormalBoldChar">
    <w:name w:val="NormalBold Char"/>
    <w:link w:val="NormalBold"/>
    <w:rsid w:val="007C59FD"/>
    <w:rPr>
      <w:rFonts w:ascii="Times New Roman" w:eastAsia="Times New Roman" w:hAnsi="Times New Roman"/>
      <w:b/>
      <w:sz w:val="24"/>
      <w:szCs w:val="20"/>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EF308-AB57-40FF-9643-33834289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AP_relfinale</dc:creator>
  <cp:keywords/>
  <dc:description/>
  <cp:lastModifiedBy>AR_</cp:lastModifiedBy>
  <cp:revision>2</cp:revision>
  <dcterms:created xsi:type="dcterms:W3CDTF">2025-03-17T11:04:00Z</dcterms:created>
  <dcterms:modified xsi:type="dcterms:W3CDTF">2025-03-17T11:04:00Z</dcterms:modified>
</cp:coreProperties>
</file>