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B4B" w:rsidP="007A4B4B" w:rsidRDefault="007A4B4B" w14:paraId="04254C5F" w14:textId="51A98FD6">
      <w:r>
        <w:t>AH 2695</w:t>
      </w:r>
    </w:p>
    <w:p w:rsidR="007A4B4B" w:rsidP="007A4B4B" w:rsidRDefault="007A4B4B" w14:paraId="2224D626" w14:textId="4E45474D">
      <w:r>
        <w:t>2026Z16063</w:t>
      </w:r>
    </w:p>
    <w:p w:rsidR="007A4B4B" w:rsidP="007A4B4B" w:rsidRDefault="007A4B4B" w14:paraId="256FA8E4" w14:textId="5B2FBCB2">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18 augustus 2026)</w:t>
      </w:r>
    </w:p>
    <w:p w:rsidRPr="0001610A" w:rsidR="007A4B4B" w:rsidP="007A4B4B" w:rsidRDefault="007A4B4B" w14:paraId="25EF7EBA" w14:textId="77777777">
      <w:pPr>
        <w:rPr>
          <w:b/>
          <w:bCs/>
        </w:rPr>
      </w:pPr>
      <w:r>
        <w:rPr>
          <w:b/>
          <w:bCs/>
        </w:rPr>
        <w:t>Vraag 1</w:t>
      </w:r>
    </w:p>
    <w:p w:rsidRPr="0001610A" w:rsidR="007A4B4B" w:rsidP="007A4B4B" w:rsidRDefault="007A4B4B" w14:paraId="6FDD7178" w14:textId="77777777">
      <w:pPr>
        <w:rPr>
          <w:b/>
          <w:bCs/>
        </w:rPr>
      </w:pPr>
      <w:r w:rsidRPr="0001610A">
        <w:rPr>
          <w:b/>
          <w:bCs/>
        </w:rPr>
        <w:t>Bent u bekend met het artikel: ‘Slimme fondsenwerving of privacyschending? De onzichtbare technologie achter donaties’?</w:t>
      </w:r>
      <w:r w:rsidRPr="0001610A">
        <w:rPr>
          <w:rStyle w:val="Voetnootmarkering"/>
          <w:b/>
          <w:bCs/>
        </w:rPr>
        <w:footnoteReference w:id="1"/>
      </w:r>
    </w:p>
    <w:p w:rsidR="007A4B4B" w:rsidP="007A4B4B" w:rsidRDefault="007A4B4B" w14:paraId="1D5708E0" w14:textId="77777777"/>
    <w:p w:rsidR="007A4B4B" w:rsidP="007A4B4B" w:rsidRDefault="007A4B4B" w14:paraId="2EFC2BA7" w14:textId="77777777">
      <w:pPr>
        <w:rPr>
          <w:b/>
          <w:bCs/>
        </w:rPr>
      </w:pPr>
      <w:r>
        <w:rPr>
          <w:b/>
          <w:bCs/>
        </w:rPr>
        <w:t>Antwoord op vraag 1</w:t>
      </w:r>
    </w:p>
    <w:p w:rsidRPr="0001610A" w:rsidR="007A4B4B" w:rsidP="007A4B4B" w:rsidRDefault="007A4B4B" w14:paraId="1B237AF0" w14:textId="77777777">
      <w:r>
        <w:t>Ja.</w:t>
      </w:r>
    </w:p>
    <w:p w:rsidR="007A4B4B" w:rsidP="007A4B4B" w:rsidRDefault="007A4B4B" w14:paraId="3B3017CA" w14:textId="77777777"/>
    <w:p w:rsidRPr="0001610A" w:rsidR="007A4B4B" w:rsidP="007A4B4B" w:rsidRDefault="007A4B4B" w14:paraId="3F0D689D" w14:textId="77777777">
      <w:pPr>
        <w:rPr>
          <w:b/>
          <w:bCs/>
        </w:rPr>
      </w:pPr>
      <w:r>
        <w:rPr>
          <w:b/>
          <w:bCs/>
        </w:rPr>
        <w:t>Vraag 2</w:t>
      </w:r>
    </w:p>
    <w:p w:rsidR="007A4B4B" w:rsidP="007A4B4B" w:rsidRDefault="007A4B4B" w14:paraId="00732CC6" w14:textId="77777777">
      <w:pPr>
        <w:rPr>
          <w:b/>
          <w:bCs/>
        </w:rPr>
      </w:pPr>
      <w:r w:rsidRPr="0001610A">
        <w:rPr>
          <w:b/>
          <w:bCs/>
        </w:rPr>
        <w:t>Hoe beoordeelt u de praktijk waarbij goede doelen op basis van minimale input (zoals enkel een gedeelde postcode en huisnummer) persoonsgegevens verrijken met buurtkenmerken, WOZ-waarden en leefstijlen zonder dat donateurs hiervan op de hoogte zijn of hier vooraf toestemming voor hebben gegeven?</w:t>
      </w:r>
      <w:r w:rsidRPr="0001610A">
        <w:rPr>
          <w:b/>
          <w:bCs/>
        </w:rPr>
        <w:br/>
      </w:r>
    </w:p>
    <w:p w:rsidR="007A4B4B" w:rsidP="007A4B4B" w:rsidRDefault="007A4B4B" w14:paraId="5D896452" w14:textId="77777777">
      <w:pPr>
        <w:rPr>
          <w:b/>
          <w:bCs/>
        </w:rPr>
      </w:pPr>
      <w:r>
        <w:rPr>
          <w:b/>
          <w:bCs/>
        </w:rPr>
        <w:t>Antwoord op vraag 2</w:t>
      </w:r>
    </w:p>
    <w:p w:rsidR="007A4B4B" w:rsidP="007A4B4B" w:rsidRDefault="007A4B4B" w14:paraId="7ADA8710" w14:textId="77777777">
      <w:r>
        <w:t xml:space="preserve">Goede doelen opereren bij de verwerking van persoonsgegevens binnen het kader van de Algemene Verordening Gegevensbescherming (AVG). In de casus zoals deze wordt geschetst in de vraag zou sprake kunnen zijn van gegevensverrijking en profilering ten behoeve van directe marketing. Het verwerken van persoonsgegevens is alleen toegestaan als daarvoor een grondslag bestaat. Artikel 6 van de AVG noemt in dit verband toestemming van de betrokkene, maar ook gerechtvaardigd belang van de verwerkingsverantwoordelijke of van een derde. Hiervan kan sprake zijn als de verwerking van gegevens noodzakelijk is voor de behartiging van het gerechtvaardigde belang en als de rechten en vrijheden van de betrokkenen niet zwaarder wegen. Of hier sprake is van een gerechtvaardigd belang en of is voldaan aan de overige vereisten die de AVG stelt, is niet aan mij om vast te stellen. Dit moet worden beoordeeld aan de hand van de omstandigheden van het specifieke geval, in de eerste plaats door de goededoelenorganisatie zelf als verwerkingsverantwoordelijke. De Functionaris voor Gegevensbescherming (FG) en uiteindelijk de Autoriteit Persoonsgegevens (AP) houden toezicht op de naleving van de AVG. </w:t>
      </w:r>
    </w:p>
    <w:p w:rsidR="007A4B4B" w:rsidP="007A4B4B" w:rsidRDefault="007A4B4B" w14:paraId="2C7C5DFC" w14:textId="77777777"/>
    <w:p w:rsidR="007A4B4B" w:rsidP="007A4B4B" w:rsidRDefault="007A4B4B" w14:paraId="3A2E590D" w14:textId="77777777">
      <w:r>
        <w:t xml:space="preserve">Daarnaast geldt dat - ongeacht de verwerkingsgrondslag - </w:t>
      </w:r>
      <w:r w:rsidRPr="004F0ADF">
        <w:t xml:space="preserve">de verwerkingsverantwoordelijke </w:t>
      </w:r>
      <w:r>
        <w:t xml:space="preserve">op grond van </w:t>
      </w:r>
      <w:r w:rsidRPr="004F0ADF">
        <w:t>artikel</w:t>
      </w:r>
      <w:r>
        <w:t>en</w:t>
      </w:r>
      <w:r w:rsidRPr="004F0ADF">
        <w:t xml:space="preserve"> 12-14 AVG verplicht is </w:t>
      </w:r>
      <w:r w:rsidRPr="00980C4A">
        <w:t xml:space="preserve">transparantie </w:t>
      </w:r>
      <w:r>
        <w:t xml:space="preserve">te bieden </w:t>
      </w:r>
      <w:r w:rsidRPr="004F0ADF">
        <w:t xml:space="preserve">over de gegevensverwerking. </w:t>
      </w:r>
      <w:r>
        <w:t xml:space="preserve">Dit gebeurt doorgaans met </w:t>
      </w:r>
      <w:r w:rsidRPr="004F0ADF">
        <w:t>een privacyverklaring</w:t>
      </w:r>
      <w:r>
        <w:t xml:space="preserve">, waarin onder andere staat welke </w:t>
      </w:r>
      <w:r w:rsidRPr="00980C4A">
        <w:t>gegevens</w:t>
      </w:r>
      <w:r>
        <w:t xml:space="preserve"> worden verwerkt, voor welke doelen dat gebeurt, welke </w:t>
      </w:r>
      <w:r w:rsidRPr="00980C4A">
        <w:t>grondslag</w:t>
      </w:r>
      <w:r>
        <w:t xml:space="preserve"> van toepassing is, hoe lang de gegevens bewaard </w:t>
      </w:r>
      <w:r>
        <w:lastRenderedPageBreak/>
        <w:t xml:space="preserve">worden en </w:t>
      </w:r>
      <w:r w:rsidRPr="00980C4A">
        <w:t xml:space="preserve">met wie </w:t>
      </w:r>
      <w:r>
        <w:t xml:space="preserve">deze </w:t>
      </w:r>
      <w:r w:rsidRPr="00980C4A">
        <w:t>worden gedeeld</w:t>
      </w:r>
      <w:r>
        <w:t xml:space="preserve">. Zoals aangegeven is het toezicht hierop belegd bij de FG en uiteindelijk de AP. Ook daarin is voor mij geen rol weggelegd. </w:t>
      </w:r>
    </w:p>
    <w:p w:rsidR="007A4B4B" w:rsidP="007A4B4B" w:rsidRDefault="007A4B4B" w14:paraId="1F1B0CA9" w14:textId="77777777"/>
    <w:p w:rsidRPr="00A13677" w:rsidR="007A4B4B" w:rsidP="007A4B4B" w:rsidRDefault="007A4B4B" w14:paraId="6BC16710" w14:textId="77777777">
      <w:r>
        <w:t>Voor ruim zevenhonderd erkende goede doelen geldt dat het CBF, de onafhankelijke toezichthouder op de goededoelensector, het privacy- en informatiebeveiligingsbeleid van de organisaties controleert en handhaaft waar nodig.</w:t>
      </w:r>
      <w:r>
        <w:rPr>
          <w:rStyle w:val="Voetnootmarkering"/>
        </w:rPr>
        <w:footnoteReference w:id="2"/>
      </w:r>
      <w:r>
        <w:t xml:space="preserve"> Het CBF kan daarbij vragen naar de onderbouwing van het beroep op gerechtvaardigd belang. Sinds 2026 houdt het CBF hier scherper toezicht op en doet dat, waar nodig, in afstemming met de AP. </w:t>
      </w:r>
    </w:p>
    <w:p w:rsidR="007A4B4B" w:rsidP="007A4B4B" w:rsidRDefault="007A4B4B" w14:paraId="759BCF70" w14:textId="77777777">
      <w:pPr>
        <w:rPr>
          <w:b/>
          <w:bCs/>
        </w:rPr>
      </w:pPr>
    </w:p>
    <w:p w:rsidRPr="0001610A" w:rsidR="007A4B4B" w:rsidP="007A4B4B" w:rsidRDefault="007A4B4B" w14:paraId="7571FAFD" w14:textId="77777777">
      <w:pPr>
        <w:rPr>
          <w:b/>
          <w:bCs/>
        </w:rPr>
      </w:pPr>
      <w:r>
        <w:rPr>
          <w:b/>
          <w:bCs/>
        </w:rPr>
        <w:t>Vraag 3</w:t>
      </w:r>
    </w:p>
    <w:p w:rsidR="007A4B4B" w:rsidP="007A4B4B" w:rsidRDefault="007A4B4B" w14:paraId="30B6AD21" w14:textId="77777777">
      <w:pPr>
        <w:rPr>
          <w:b/>
          <w:bCs/>
        </w:rPr>
      </w:pPr>
      <w:r w:rsidRPr="0001610A">
        <w:rPr>
          <w:b/>
          <w:bCs/>
        </w:rPr>
        <w:t>Deelt u de mening dat het gebruik van voorspellende AI-software (zoals Dataro) om specifiek de ‘nalatenschapsbereidheid’ of toekomstige erfenissen van individuele donateurs te voorspellen, een inbreuk is op de persoonlijke levenssfeer die nooit onder de Algemene Verordening Gegevensbescherming (AVG)-grondslag ‘gerechtvaardigd belang’ mag vallen? Acht u het ethisch verantwoord dat goede doelen dergelijke technologie inzetten?</w:t>
      </w:r>
      <w:r w:rsidRPr="0001610A">
        <w:rPr>
          <w:b/>
          <w:bCs/>
        </w:rPr>
        <w:br/>
      </w:r>
    </w:p>
    <w:p w:rsidR="007A4B4B" w:rsidP="007A4B4B" w:rsidRDefault="007A4B4B" w14:paraId="6B1C9025" w14:textId="77777777">
      <w:pPr>
        <w:rPr>
          <w:b/>
          <w:bCs/>
        </w:rPr>
      </w:pPr>
      <w:r>
        <w:rPr>
          <w:b/>
          <w:bCs/>
        </w:rPr>
        <w:t>Antwoord op vraag 3</w:t>
      </w:r>
    </w:p>
    <w:p w:rsidR="007A4B4B" w:rsidP="007A4B4B" w:rsidRDefault="007A4B4B" w14:paraId="41D2CE62" w14:textId="77777777">
      <w:r>
        <w:t>D</w:t>
      </w:r>
      <w:r w:rsidRPr="00BA6B00">
        <w:t xml:space="preserve">e AVG </w:t>
      </w:r>
      <w:r>
        <w:t>is technologie-neutraal en kent aan artificiële intelligentie (hierna: AI) geen aparte status toe. Wel verplicht artikel 35 van de AVG tot het doen van een DPIA (Data Protection Impact Assessment) als de verwerking waarschijnlijk een hoog risico inhoudt, zoals bij systematische en grootschalige profilering of innovatie met nieuwe technologie. Daarvan kan sprake zijn bij AI-toepassingen. Of sprake is van verantwoord gebruik van technologische verwerkingsmiddelen of -methoden moet in eerste instantie worden beoordeeld door de goededoelenorganisatie als verwerkingsverantwoordelijke, aan de hand van de omstandigheden van het specifieke geval.</w:t>
      </w:r>
      <w:r w:rsidRPr="00C138BB">
        <w:t xml:space="preserve"> </w:t>
      </w:r>
      <w:r w:rsidRPr="000E7E1A">
        <w:t xml:space="preserve">Artikel 5 </w:t>
      </w:r>
      <w:r>
        <w:t>van de AVG kent daarbij een v</w:t>
      </w:r>
      <w:r w:rsidRPr="000E7E1A">
        <w:t>erantwoordingsplicht</w:t>
      </w:r>
      <w:r>
        <w:t xml:space="preserve">, op grond waarvan de </w:t>
      </w:r>
      <w:r w:rsidRPr="000E7E1A">
        <w:t xml:space="preserve">verwerkingsverantwoordelijke </w:t>
      </w:r>
      <w:r>
        <w:t xml:space="preserve">het voorgaande </w:t>
      </w:r>
      <w:r w:rsidRPr="000E7E1A">
        <w:t>moet kunnen aantonen</w:t>
      </w:r>
      <w:r>
        <w:t xml:space="preserve">. De AP houdt daarop toezicht. </w:t>
      </w:r>
    </w:p>
    <w:p w:rsidR="007A4B4B" w:rsidP="007A4B4B" w:rsidRDefault="007A4B4B" w14:paraId="4F4451A7" w14:textId="77777777"/>
    <w:p w:rsidR="007A4B4B" w:rsidP="007A4B4B" w:rsidRDefault="007A4B4B" w14:paraId="0AFD5B86" w14:textId="77777777">
      <w:r w:rsidRPr="00D31DA9">
        <w:t>Met de inzet van AI door organisaties of bedrijven is in principe niets mis, ook niet als goede doelen dat doen. Sterker nog, AI kan in bepaalde situaties juist helpen om dienstverlening of bescherming van consumenten</w:t>
      </w:r>
      <w:r>
        <w:t xml:space="preserve">, donateurs </w:t>
      </w:r>
      <w:r w:rsidRPr="00D31DA9">
        <w:t xml:space="preserve">en burgers te verbeteren. </w:t>
      </w:r>
      <w:r>
        <w:t>D</w:t>
      </w:r>
      <w:r w:rsidRPr="00D31DA9">
        <w:t xml:space="preserve">e inzet van AI </w:t>
      </w:r>
      <w:r>
        <w:t xml:space="preserve">dient daarbij </w:t>
      </w:r>
      <w:r w:rsidRPr="00D31DA9">
        <w:t>plaats</w:t>
      </w:r>
      <w:r>
        <w:t xml:space="preserve"> te </w:t>
      </w:r>
      <w:r w:rsidRPr="00D31DA9">
        <w:t>vind</w:t>
      </w:r>
      <w:r>
        <w:t>en</w:t>
      </w:r>
      <w:r w:rsidRPr="00D31DA9">
        <w:t xml:space="preserve"> binnen </w:t>
      </w:r>
      <w:r>
        <w:t xml:space="preserve">de </w:t>
      </w:r>
      <w:r w:rsidRPr="00D31DA9">
        <w:t xml:space="preserve">wettelijke kaders. Het is </w:t>
      </w:r>
      <w:r>
        <w:t xml:space="preserve">uiteindelijk </w:t>
      </w:r>
      <w:r w:rsidRPr="00D31DA9">
        <w:t>aan de toezichthouders om te bepalen of de inzet rechtmatig plaatsvindt.</w:t>
      </w:r>
    </w:p>
    <w:p w:rsidR="007A4B4B" w:rsidP="007A4B4B" w:rsidRDefault="007A4B4B" w14:paraId="34ACCDB7" w14:textId="77777777">
      <w:pPr>
        <w:rPr>
          <w:b/>
          <w:bCs/>
        </w:rPr>
      </w:pPr>
    </w:p>
    <w:p w:rsidRPr="0001610A" w:rsidR="007A4B4B" w:rsidP="007A4B4B" w:rsidRDefault="007A4B4B" w14:paraId="645CBB7F" w14:textId="77777777">
      <w:pPr>
        <w:rPr>
          <w:b/>
          <w:bCs/>
        </w:rPr>
      </w:pPr>
      <w:r>
        <w:rPr>
          <w:b/>
          <w:bCs/>
        </w:rPr>
        <w:t>Vraag 4</w:t>
      </w:r>
    </w:p>
    <w:p w:rsidR="007A4B4B" w:rsidP="007A4B4B" w:rsidRDefault="007A4B4B" w14:paraId="5491E50E" w14:textId="77777777">
      <w:pPr>
        <w:rPr>
          <w:b/>
          <w:bCs/>
        </w:rPr>
      </w:pPr>
      <w:r w:rsidRPr="0001610A">
        <w:rPr>
          <w:b/>
          <w:bCs/>
        </w:rPr>
        <w:t xml:space="preserve">Hoe beoordeelt u het belangenconflict dat kan ontstaan wanneer goede doelen via investeringsfondsen financieel deelnemen in commerciële AI-bedrijven die worden ingezet voor het analyseren van hun eigen donateurs? Deelt u de zorg dat hierdoor maatschappelijke en </w:t>
      </w:r>
      <w:r w:rsidRPr="0001610A">
        <w:rPr>
          <w:b/>
          <w:bCs/>
        </w:rPr>
        <w:lastRenderedPageBreak/>
        <w:t>commerciële belangen met elkaar verstrengeld raken, ten koste van de privacy van donateurs?</w:t>
      </w:r>
      <w:r w:rsidRPr="0001610A">
        <w:rPr>
          <w:b/>
          <w:bCs/>
        </w:rPr>
        <w:br/>
      </w:r>
    </w:p>
    <w:p w:rsidR="007A4B4B" w:rsidP="007A4B4B" w:rsidRDefault="007A4B4B" w14:paraId="7C0D35D4" w14:textId="77777777">
      <w:pPr>
        <w:rPr>
          <w:b/>
          <w:bCs/>
        </w:rPr>
      </w:pPr>
    </w:p>
    <w:p w:rsidR="007A4B4B" w:rsidP="007A4B4B" w:rsidRDefault="007A4B4B" w14:paraId="21D70DDD" w14:textId="77777777">
      <w:pPr>
        <w:rPr>
          <w:b/>
          <w:bCs/>
        </w:rPr>
      </w:pPr>
    </w:p>
    <w:p w:rsidR="007A4B4B" w:rsidP="007A4B4B" w:rsidRDefault="007A4B4B" w14:paraId="523B96E6" w14:textId="77777777">
      <w:pPr>
        <w:rPr>
          <w:b/>
          <w:bCs/>
        </w:rPr>
      </w:pPr>
    </w:p>
    <w:p w:rsidR="007A4B4B" w:rsidP="007A4B4B" w:rsidRDefault="007A4B4B" w14:paraId="5318D78F" w14:textId="77777777">
      <w:pPr>
        <w:rPr>
          <w:b/>
          <w:bCs/>
        </w:rPr>
      </w:pPr>
    </w:p>
    <w:p w:rsidR="007A4B4B" w:rsidP="007A4B4B" w:rsidRDefault="007A4B4B" w14:paraId="7B127943" w14:textId="77777777">
      <w:pPr>
        <w:rPr>
          <w:b/>
          <w:bCs/>
        </w:rPr>
      </w:pPr>
    </w:p>
    <w:p w:rsidR="007A4B4B" w:rsidP="007A4B4B" w:rsidRDefault="007A4B4B" w14:paraId="0EC30A43" w14:textId="77777777">
      <w:pPr>
        <w:rPr>
          <w:b/>
          <w:bCs/>
        </w:rPr>
      </w:pPr>
      <w:r>
        <w:rPr>
          <w:b/>
          <w:bCs/>
        </w:rPr>
        <w:t>Antwoord op vraag 4</w:t>
      </w:r>
    </w:p>
    <w:p w:rsidRPr="00AD04B6" w:rsidR="007A4B4B" w:rsidP="007A4B4B" w:rsidRDefault="007A4B4B" w14:paraId="6B6D56D2" w14:textId="77777777">
      <w:bookmarkStart w:name="_Hlk236731997" w:id="0"/>
      <w:r>
        <w:t xml:space="preserve">Het staat stichtingen en verenigingen vrij om investeringen te doen mits de opbrengst daarvan volledig ten goede komt aan het statutaire doel. </w:t>
      </w:r>
      <w:bookmarkStart w:name="_Hlk236748564" w:id="1"/>
      <w:bookmarkEnd w:id="0"/>
      <w:r w:rsidRPr="009310BF">
        <w:t xml:space="preserve">Stichtingen </w:t>
      </w:r>
      <w:r>
        <w:t xml:space="preserve">en verenigingen </w:t>
      </w:r>
      <w:r w:rsidRPr="009310BF">
        <w:t xml:space="preserve">kunnen </w:t>
      </w:r>
      <w:r>
        <w:t xml:space="preserve">ook </w:t>
      </w:r>
      <w:r w:rsidRPr="009310BF">
        <w:t xml:space="preserve">een ANBI </w:t>
      </w:r>
      <w:r>
        <w:t xml:space="preserve">(algemeen nut beogende instelling) </w:t>
      </w:r>
      <w:r w:rsidRPr="009310BF">
        <w:t xml:space="preserve">status hebben wanneer </w:t>
      </w:r>
      <w:r>
        <w:t xml:space="preserve">zij </w:t>
      </w:r>
      <w:r w:rsidRPr="009310BF">
        <w:t>aan verschillende voorwaarden voldoe</w:t>
      </w:r>
      <w:r>
        <w:t>n</w:t>
      </w:r>
      <w:r w:rsidRPr="009310BF">
        <w:t>. Zo moet d</w:t>
      </w:r>
      <w:r>
        <w:t xml:space="preserve">e organisatie </w:t>
      </w:r>
      <w:r w:rsidRPr="009310BF">
        <w:t xml:space="preserve">zich onder andere voor minstens 90% inzetten voor het algemeen nut, geen winstoogmerk hebben, en aan strikte integriteits- en transparantie-eisen voldoen. </w:t>
      </w:r>
      <w:bookmarkEnd w:id="1"/>
      <w:r>
        <w:t xml:space="preserve">Het is bij investeringen in leveranciers van data- en AI-diensten van belang dat schijn of feitelijke verstrengeling worden voorkomen via </w:t>
      </w:r>
      <w:r w:rsidRPr="00DA2874">
        <w:t xml:space="preserve">transparantie, strikte functiescheiding, onafhankelijke toetsing van privacy- en ethische risico’s en naleving van </w:t>
      </w:r>
      <w:r>
        <w:t>de toepasselijke wettelijke en sectorspecifieke normen. Dit is vastgelegd in het normenkader van het CBF waaraan erkende goede doelen moeten voldoen (normen 5.3.1 en 5.3.2)</w:t>
      </w:r>
      <w:r w:rsidRPr="00DA2874">
        <w:t>.</w:t>
      </w:r>
    </w:p>
    <w:p w:rsidR="007A4B4B" w:rsidP="007A4B4B" w:rsidRDefault="007A4B4B" w14:paraId="5CA8B61E" w14:textId="77777777">
      <w:pPr>
        <w:rPr>
          <w:b/>
          <w:bCs/>
        </w:rPr>
      </w:pPr>
    </w:p>
    <w:p w:rsidRPr="0001610A" w:rsidR="007A4B4B" w:rsidP="007A4B4B" w:rsidRDefault="007A4B4B" w14:paraId="4F5F723E" w14:textId="77777777">
      <w:pPr>
        <w:rPr>
          <w:b/>
          <w:bCs/>
        </w:rPr>
      </w:pPr>
      <w:r>
        <w:rPr>
          <w:b/>
          <w:bCs/>
        </w:rPr>
        <w:t>Vraag 5</w:t>
      </w:r>
    </w:p>
    <w:p w:rsidR="007A4B4B" w:rsidP="007A4B4B" w:rsidRDefault="007A4B4B" w14:paraId="1BAE8A18" w14:textId="77777777">
      <w:pPr>
        <w:rPr>
          <w:b/>
          <w:bCs/>
        </w:rPr>
      </w:pPr>
      <w:r w:rsidRPr="0001610A">
        <w:rPr>
          <w:b/>
          <w:bCs/>
        </w:rPr>
        <w:t>Hoe beoordeelt u de praktijk dat sommige goede doelen na opzegging van een periodieke schenking wel de incasso beëindigen, maar de relatie met de voormalige donateur voortzetten door deze te blijven benaderen voor nieuwe donaties?</w:t>
      </w:r>
    </w:p>
    <w:p w:rsidR="007A4B4B" w:rsidP="007A4B4B" w:rsidRDefault="007A4B4B" w14:paraId="11F47ED5" w14:textId="77777777">
      <w:pPr>
        <w:rPr>
          <w:b/>
          <w:bCs/>
        </w:rPr>
      </w:pPr>
    </w:p>
    <w:p w:rsidRPr="0001610A" w:rsidR="007A4B4B" w:rsidP="007A4B4B" w:rsidRDefault="007A4B4B" w14:paraId="6BB26920" w14:textId="77777777">
      <w:pPr>
        <w:rPr>
          <w:b/>
          <w:bCs/>
        </w:rPr>
      </w:pPr>
      <w:r>
        <w:rPr>
          <w:b/>
          <w:bCs/>
        </w:rPr>
        <w:t>Vraag 6</w:t>
      </w:r>
    </w:p>
    <w:p w:rsidRPr="0001610A" w:rsidR="007A4B4B" w:rsidP="007A4B4B" w:rsidRDefault="007A4B4B" w14:paraId="3677CFDC" w14:textId="77777777">
      <w:pPr>
        <w:rPr>
          <w:b/>
          <w:bCs/>
        </w:rPr>
      </w:pPr>
      <w:r w:rsidRPr="0001610A">
        <w:rPr>
          <w:b/>
          <w:bCs/>
        </w:rPr>
        <w:t>De Wet Van Dam</w:t>
      </w:r>
      <w:r w:rsidRPr="0001610A">
        <w:rPr>
          <w:rStyle w:val="Voetnootmarkering"/>
          <w:b/>
          <w:bCs/>
        </w:rPr>
        <w:footnoteReference w:id="3"/>
      </w:r>
      <w:r w:rsidRPr="0001610A">
        <w:rPr>
          <w:b/>
          <w:bCs/>
        </w:rPr>
        <w:t> beschermt consumenten tegen onnodige belemmeringen bij het beëindigen van doorlopende overeenkomsten. Hoe beoordeelt u het feit dat goede doelen, die hun fondsenwerving veelal uitbesteden aan commerciële bureaus, in de praktijk drempels hanteren die in de commerciële sector juist zijn uitgebannen? Deelt u de opvatting dat donateurs dezelfde bescherming zouden moeten genieten als consumenten en dat ook op deze praktijken op vergelijkbare wijze zou moeten worden toegezien?</w:t>
      </w:r>
      <w:r w:rsidRPr="0001610A">
        <w:rPr>
          <w:b/>
          <w:bCs/>
        </w:rPr>
        <w:br/>
      </w:r>
    </w:p>
    <w:p w:rsidR="007A4B4B" w:rsidP="007A4B4B" w:rsidRDefault="007A4B4B" w14:paraId="2D6DFFAB" w14:textId="77777777">
      <w:pPr>
        <w:rPr>
          <w:b/>
          <w:bCs/>
        </w:rPr>
      </w:pPr>
    </w:p>
    <w:p w:rsidR="007A4B4B" w:rsidP="007A4B4B" w:rsidRDefault="007A4B4B" w14:paraId="6FF6074E" w14:textId="77777777">
      <w:pPr>
        <w:rPr>
          <w:b/>
          <w:bCs/>
        </w:rPr>
      </w:pPr>
    </w:p>
    <w:p w:rsidR="007A4B4B" w:rsidP="007A4B4B" w:rsidRDefault="007A4B4B" w14:paraId="4C83206A" w14:textId="77777777">
      <w:pPr>
        <w:rPr>
          <w:b/>
          <w:bCs/>
        </w:rPr>
      </w:pPr>
    </w:p>
    <w:p w:rsidR="007A4B4B" w:rsidP="007A4B4B" w:rsidRDefault="007A4B4B" w14:paraId="5D7F5DB2" w14:textId="77777777">
      <w:pPr>
        <w:rPr>
          <w:b/>
          <w:bCs/>
        </w:rPr>
      </w:pPr>
    </w:p>
    <w:p w:rsidR="007A4B4B" w:rsidP="007A4B4B" w:rsidRDefault="007A4B4B" w14:paraId="7A3A51AC" w14:textId="77777777">
      <w:pPr>
        <w:rPr>
          <w:b/>
          <w:bCs/>
        </w:rPr>
      </w:pPr>
    </w:p>
    <w:p w:rsidR="007A4B4B" w:rsidP="007A4B4B" w:rsidRDefault="007A4B4B" w14:paraId="2A5C35C9" w14:textId="77777777">
      <w:pPr>
        <w:rPr>
          <w:b/>
          <w:bCs/>
        </w:rPr>
      </w:pPr>
    </w:p>
    <w:p w:rsidR="007A4B4B" w:rsidP="007A4B4B" w:rsidRDefault="007A4B4B" w14:paraId="2E883511" w14:textId="77777777">
      <w:pPr>
        <w:rPr>
          <w:b/>
          <w:bCs/>
        </w:rPr>
      </w:pPr>
    </w:p>
    <w:p w:rsidR="007A4B4B" w:rsidP="007A4B4B" w:rsidRDefault="007A4B4B" w14:paraId="3A6886DF" w14:textId="77777777">
      <w:pPr>
        <w:rPr>
          <w:b/>
          <w:bCs/>
        </w:rPr>
      </w:pPr>
    </w:p>
    <w:p w:rsidR="007A4B4B" w:rsidP="007A4B4B" w:rsidRDefault="007A4B4B" w14:paraId="570AED9B" w14:textId="77777777">
      <w:pPr>
        <w:rPr>
          <w:b/>
          <w:bCs/>
        </w:rPr>
      </w:pPr>
    </w:p>
    <w:p w:rsidR="007A4B4B" w:rsidP="007A4B4B" w:rsidRDefault="007A4B4B" w14:paraId="594A2FEB" w14:textId="77777777">
      <w:pPr>
        <w:rPr>
          <w:b/>
          <w:bCs/>
        </w:rPr>
      </w:pPr>
    </w:p>
    <w:p w:rsidR="007A4B4B" w:rsidP="007A4B4B" w:rsidRDefault="007A4B4B" w14:paraId="0E1D37B2" w14:textId="77777777">
      <w:pPr>
        <w:rPr>
          <w:b/>
          <w:bCs/>
        </w:rPr>
      </w:pPr>
    </w:p>
    <w:p w:rsidR="007A4B4B" w:rsidP="007A4B4B" w:rsidRDefault="007A4B4B" w14:paraId="11EE5BAB" w14:textId="77777777">
      <w:pPr>
        <w:rPr>
          <w:b/>
          <w:bCs/>
        </w:rPr>
      </w:pPr>
    </w:p>
    <w:p w:rsidR="007A4B4B" w:rsidP="007A4B4B" w:rsidRDefault="007A4B4B" w14:paraId="003F64D9" w14:textId="77777777">
      <w:pPr>
        <w:rPr>
          <w:b/>
          <w:bCs/>
        </w:rPr>
      </w:pPr>
    </w:p>
    <w:p w:rsidR="007A4B4B" w:rsidP="007A4B4B" w:rsidRDefault="007A4B4B" w14:paraId="1B0C9560" w14:textId="77777777">
      <w:pPr>
        <w:rPr>
          <w:b/>
          <w:bCs/>
        </w:rPr>
      </w:pPr>
    </w:p>
    <w:p w:rsidR="007A4B4B" w:rsidP="007A4B4B" w:rsidRDefault="007A4B4B" w14:paraId="4CCB54B9" w14:textId="77777777">
      <w:pPr>
        <w:rPr>
          <w:b/>
          <w:bCs/>
        </w:rPr>
      </w:pPr>
    </w:p>
    <w:p w:rsidR="007A4B4B" w:rsidP="007A4B4B" w:rsidRDefault="007A4B4B" w14:paraId="2F7E250F" w14:textId="77777777">
      <w:pPr>
        <w:rPr>
          <w:b/>
          <w:bCs/>
        </w:rPr>
      </w:pPr>
    </w:p>
    <w:p w:rsidR="007A4B4B" w:rsidP="007A4B4B" w:rsidRDefault="007A4B4B" w14:paraId="156080DA" w14:textId="77777777">
      <w:pPr>
        <w:rPr>
          <w:b/>
          <w:bCs/>
        </w:rPr>
      </w:pPr>
    </w:p>
    <w:p w:rsidR="007A4B4B" w:rsidP="007A4B4B" w:rsidRDefault="007A4B4B" w14:paraId="323BDADA" w14:textId="77777777">
      <w:pPr>
        <w:rPr>
          <w:b/>
          <w:bCs/>
        </w:rPr>
      </w:pPr>
    </w:p>
    <w:p w:rsidR="007A4B4B" w:rsidP="007A4B4B" w:rsidRDefault="007A4B4B" w14:paraId="3D47A4C1" w14:textId="77777777">
      <w:pPr>
        <w:rPr>
          <w:b/>
          <w:bCs/>
        </w:rPr>
      </w:pPr>
    </w:p>
    <w:p w:rsidR="007A4B4B" w:rsidP="007A4B4B" w:rsidRDefault="007A4B4B" w14:paraId="00884580" w14:textId="77777777">
      <w:pPr>
        <w:rPr>
          <w:b/>
          <w:bCs/>
        </w:rPr>
      </w:pPr>
    </w:p>
    <w:p w:rsidR="007A4B4B" w:rsidP="007A4B4B" w:rsidRDefault="007A4B4B" w14:paraId="06DEFA9F" w14:textId="77777777">
      <w:pPr>
        <w:rPr>
          <w:b/>
          <w:bCs/>
        </w:rPr>
      </w:pPr>
    </w:p>
    <w:p w:rsidR="007A4B4B" w:rsidP="007A4B4B" w:rsidRDefault="007A4B4B" w14:paraId="3341654E" w14:textId="77777777">
      <w:pPr>
        <w:rPr>
          <w:b/>
          <w:bCs/>
        </w:rPr>
      </w:pPr>
      <w:r>
        <w:rPr>
          <w:b/>
          <w:bCs/>
        </w:rPr>
        <w:t>Antwoord op vragen 5 en 6</w:t>
      </w:r>
    </w:p>
    <w:p w:rsidRPr="000D55CC" w:rsidR="007A4B4B" w:rsidP="007A4B4B" w:rsidRDefault="007A4B4B" w14:paraId="6ED82182" w14:textId="77777777">
      <w:r>
        <w:t>Het moet eenvoudig zijn voor donateurs om relaties met en periodieke donaties aan goededoelenorganisaties te beëindigen of aan te passen. Sinds 1 januari 2025 geldt hiervoor ook een aparte norm voor erkende goededoelenorganisaties, inclusief voor commerciële bureaus die werken in opdracht van erkende goede doelen. Hier houdt het CBF toezicht op.</w:t>
      </w:r>
      <w:r>
        <w:rPr>
          <w:rStyle w:val="Voetnootmarkering"/>
        </w:rPr>
        <w:footnoteReference w:id="4"/>
      </w:r>
      <w:r>
        <w:t xml:space="preserve"> Daarbij kijkt het onder andere naar de aanwezigheid, vindbaarheid en laagdrempeligheid van de opzegmogelijkheden. Goede doelen hebben daarnaast onder de AVG en Reclame Code de mogelijkheid om oud-donateurs te benaderen na het opzeggen van de relatie, mits dit binnen de door de Reclame Code gestelde klanttermijn valt. Onder de Code Telemarketing geldt bijvoorbeeld een maximum klanttermijn van drie jaar.</w:t>
      </w:r>
      <w:r>
        <w:rPr>
          <w:rStyle w:val="Voetnootmarkering"/>
        </w:rPr>
        <w:footnoteReference w:id="5"/>
      </w:r>
      <w:r>
        <w:t xml:space="preserve"> Donateurs en voormalige donateurs hebben daarbij altijd de mogelijkheid van bezwaar. </w:t>
      </w:r>
    </w:p>
    <w:p w:rsidR="007A4B4B" w:rsidP="007A4B4B" w:rsidRDefault="007A4B4B" w14:paraId="748A7B50" w14:textId="77777777">
      <w:pPr>
        <w:rPr>
          <w:b/>
          <w:bCs/>
        </w:rPr>
      </w:pPr>
    </w:p>
    <w:p w:rsidR="007A4B4B" w:rsidP="007A4B4B" w:rsidRDefault="007A4B4B" w14:paraId="7FA990B0" w14:textId="77777777">
      <w:r>
        <w:t>Donaties</w:t>
      </w:r>
      <w:r w:rsidRPr="00BF02AA">
        <w:t xml:space="preserve"> </w:t>
      </w:r>
      <w:r>
        <w:t xml:space="preserve">aan goede doelen vallen niet onder het algemene consumentenrecht. Dit zijn namelijk </w:t>
      </w:r>
      <w:r w:rsidRPr="008836E4">
        <w:t>overeenkomsten zonder tegenprestatie</w:t>
      </w:r>
      <w:r>
        <w:t xml:space="preserve"> en</w:t>
      </w:r>
      <w:r w:rsidRPr="008836E4">
        <w:t xml:space="preserve"> kwalificeren niet als dienst in de zin van artikel 6:230g, eerste lid, onderdeel d, Burgerlijk Wetboek. </w:t>
      </w:r>
      <w:r>
        <w:t xml:space="preserve">Ik zie geen aanleiding om het consumentenrecht uit te </w:t>
      </w:r>
      <w:r>
        <w:lastRenderedPageBreak/>
        <w:t>breiden naar goededoelenorganisaties. Uw</w:t>
      </w:r>
      <w:r w:rsidRPr="008836E4">
        <w:t xml:space="preserve"> Kamer </w:t>
      </w:r>
      <w:r>
        <w:t xml:space="preserve">heeft ook in 2024 en 2026 </w:t>
      </w:r>
      <w:r w:rsidRPr="008836E4">
        <w:t>verzocht om goede doelen uit te zonderen van aanscherpingen ter bevordering van consumentenbescherming.</w:t>
      </w:r>
      <w:r w:rsidRPr="008836E4">
        <w:rPr>
          <w:vertAlign w:val="superscript"/>
        </w:rPr>
        <w:footnoteReference w:id="6"/>
      </w:r>
      <w:r w:rsidRPr="008836E4">
        <w:t xml:space="preserve"> </w:t>
      </w:r>
    </w:p>
    <w:p w:rsidR="007A4B4B" w:rsidP="007A4B4B" w:rsidRDefault="007A4B4B" w14:paraId="2720AE0B" w14:textId="77777777">
      <w:pPr>
        <w:rPr>
          <w:b/>
          <w:bCs/>
        </w:rPr>
      </w:pPr>
    </w:p>
    <w:p w:rsidRPr="0001610A" w:rsidR="007A4B4B" w:rsidP="007A4B4B" w:rsidRDefault="007A4B4B" w14:paraId="2BC1AA73" w14:textId="77777777">
      <w:pPr>
        <w:rPr>
          <w:b/>
          <w:bCs/>
        </w:rPr>
      </w:pPr>
      <w:r>
        <w:rPr>
          <w:b/>
          <w:bCs/>
        </w:rPr>
        <w:t>Vraag 7</w:t>
      </w:r>
    </w:p>
    <w:p w:rsidR="007A4B4B" w:rsidP="007A4B4B" w:rsidRDefault="007A4B4B" w14:paraId="3FB4B812" w14:textId="77777777">
      <w:r w:rsidRPr="0001610A">
        <w:rPr>
          <w:b/>
          <w:bCs/>
        </w:rPr>
        <w:t>Bent u bereid om samen met de Autoriteit Consument &amp; Markt (ACM) te bezien of de huidige consumentenbescherming voldoende aansluit bij de werkwijze van goede doelen en de commerciële fondsenwervingsbureaus waarvan zij gebruikmaken? Welke maatregelen gaat u nemen om ervoor te zorgen dat een donateur een periodieke donatie net zo eenvoudig kan beëindigen als een consument een commercieel abonnement?</w:t>
      </w:r>
    </w:p>
    <w:p w:rsidR="007A4B4B" w:rsidP="007A4B4B" w:rsidRDefault="007A4B4B" w14:paraId="13067085" w14:textId="77777777"/>
    <w:p w:rsidRPr="008836E4" w:rsidR="007A4B4B" w:rsidP="007A4B4B" w:rsidRDefault="007A4B4B" w14:paraId="791759F5" w14:textId="77777777">
      <w:pPr>
        <w:rPr>
          <w:b/>
          <w:bCs/>
        </w:rPr>
      </w:pPr>
      <w:r w:rsidRPr="0001610A">
        <w:rPr>
          <w:b/>
          <w:bCs/>
        </w:rPr>
        <w:t>Antwoord op vraag 7</w:t>
      </w:r>
      <w:r w:rsidRPr="0001610A">
        <w:rPr>
          <w:b/>
          <w:bCs/>
        </w:rPr>
        <w:br/>
      </w:r>
      <w:r w:rsidRPr="008836E4">
        <w:t xml:space="preserve">De ACM is een onafhankelijke toezichthouder. De ACM houdt geen toezicht </w:t>
      </w:r>
      <w:r>
        <w:t xml:space="preserve">op </w:t>
      </w:r>
      <w:r w:rsidRPr="008836E4">
        <w:t>(de fondsenwervingsactiviteiten</w:t>
      </w:r>
      <w:r w:rsidRPr="0023415F">
        <w:t xml:space="preserve"> </w:t>
      </w:r>
      <w:r w:rsidRPr="008836E4">
        <w:t>van) goede doelen omdat d</w:t>
      </w:r>
      <w:r>
        <w:t>eze</w:t>
      </w:r>
      <w:r w:rsidRPr="008836E4">
        <w:t xml:space="preserve"> niet onder het algemene consumentenrecht val</w:t>
      </w:r>
      <w:r>
        <w:t>len</w:t>
      </w:r>
      <w:r w:rsidRPr="008836E4">
        <w:t>. Het CBF houdt wel toezicht op de werkwijzen van goede doelen</w:t>
      </w:r>
      <w:r>
        <w:t>,</w:t>
      </w:r>
      <w:r w:rsidRPr="008836E4">
        <w:t xml:space="preserve"> waaronder de wervingsmethoden</w:t>
      </w:r>
      <w:r>
        <w:t xml:space="preserve"> van commerciële fondsenwervingsbureaus waarvan goede doelen gebruik maken. Zoals ook aangegeven in mijn antwoord op vragen 5 en 6, geldt sinds 1 januari 2025 een aparte norm voor het gemakkelijk kunnen opzeggen van een </w:t>
      </w:r>
      <w:r w:rsidRPr="008836E4">
        <w:t xml:space="preserve">donateursrelatie </w:t>
      </w:r>
      <w:r>
        <w:t xml:space="preserve">of </w:t>
      </w:r>
      <w:r w:rsidRPr="008836E4">
        <w:t>periodieke donatie</w:t>
      </w:r>
      <w:r>
        <w:t xml:space="preserve">. Ik heb nauw contact met het CBF, onder andere over haar toezicht en ontwikkelingen in de filantropische sector. </w:t>
      </w:r>
    </w:p>
    <w:p w:rsidR="00F73244" w:rsidRDefault="00F73244" w14:paraId="0FE2FC53" w14:textId="77777777"/>
    <w:sectPr w:rsidR="00F7324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5F43A" w14:textId="77777777" w:rsidR="008817D0" w:rsidRDefault="008817D0" w:rsidP="007A4B4B">
      <w:pPr>
        <w:spacing w:after="0" w:line="240" w:lineRule="auto"/>
      </w:pPr>
      <w:r>
        <w:separator/>
      </w:r>
    </w:p>
  </w:endnote>
  <w:endnote w:type="continuationSeparator" w:id="0">
    <w:p w14:paraId="5D6580DD" w14:textId="77777777" w:rsidR="008817D0" w:rsidRDefault="008817D0" w:rsidP="007A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9F94" w14:textId="77777777" w:rsidR="007A4B4B" w:rsidRPr="007A4B4B" w:rsidRDefault="007A4B4B" w:rsidP="007A4B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C553" w14:textId="77777777" w:rsidR="007A4B4B" w:rsidRPr="007A4B4B" w:rsidRDefault="007A4B4B" w:rsidP="007A4B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29DB" w14:textId="77777777" w:rsidR="007A4B4B" w:rsidRPr="007A4B4B" w:rsidRDefault="007A4B4B" w:rsidP="007A4B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C35D2" w14:textId="77777777" w:rsidR="008817D0" w:rsidRDefault="008817D0" w:rsidP="007A4B4B">
      <w:pPr>
        <w:spacing w:after="0" w:line="240" w:lineRule="auto"/>
      </w:pPr>
      <w:r>
        <w:separator/>
      </w:r>
    </w:p>
  </w:footnote>
  <w:footnote w:type="continuationSeparator" w:id="0">
    <w:p w14:paraId="32765E73" w14:textId="77777777" w:rsidR="008817D0" w:rsidRDefault="008817D0" w:rsidP="007A4B4B">
      <w:pPr>
        <w:spacing w:after="0" w:line="240" w:lineRule="auto"/>
      </w:pPr>
      <w:r>
        <w:continuationSeparator/>
      </w:r>
    </w:p>
  </w:footnote>
  <w:footnote w:id="1">
    <w:p w14:paraId="197417EA" w14:textId="77777777" w:rsidR="007A4B4B" w:rsidRPr="007850E3" w:rsidRDefault="007A4B4B" w:rsidP="007A4B4B">
      <w:pPr>
        <w:pStyle w:val="Voetnoottekst"/>
      </w:pPr>
      <w:r w:rsidRPr="007850E3">
        <w:rPr>
          <w:rStyle w:val="Voetnootmarkering"/>
        </w:rPr>
        <w:footnoteRef/>
      </w:r>
      <w:r w:rsidRPr="007850E3">
        <w:t xml:space="preserve"> FD, 6 juli 2026, 'Slimme fondsenwerving of privacyschending? De onzichtbare technologie achter donaties' </w:t>
      </w:r>
      <w:r w:rsidRPr="007850E3">
        <w:rPr>
          <w:u w:val="single"/>
        </w:rPr>
        <w:t>https://fd.nl/samenleving/1602690/slimme-fondsenwerving-of-privacyschending-de-onzichtbare-technologie-achter-donaties</w:t>
      </w:r>
      <w:r w:rsidRPr="007850E3">
        <w:t>.</w:t>
      </w:r>
    </w:p>
  </w:footnote>
  <w:footnote w:id="2">
    <w:p w14:paraId="15C62A6D" w14:textId="77777777" w:rsidR="007A4B4B" w:rsidRPr="007850E3" w:rsidRDefault="007A4B4B" w:rsidP="007A4B4B">
      <w:pPr>
        <w:pStyle w:val="Voetnoottekst"/>
      </w:pPr>
      <w:r w:rsidRPr="007850E3">
        <w:rPr>
          <w:rStyle w:val="Voetnootmarkering"/>
        </w:rPr>
        <w:footnoteRef/>
      </w:r>
      <w:r w:rsidRPr="007850E3">
        <w:t xml:space="preserve"> Zie: Normen voor de erkenning van Goede Doelen, normen 2.3.3 en 3.5.1. </w:t>
      </w:r>
      <w:hyperlink r:id="rId1" w:history="1">
        <w:r w:rsidRPr="007850E3">
          <w:rPr>
            <w:rStyle w:val="Hyperlink"/>
          </w:rPr>
          <w:t>https://commissienormstelling.nl/media/pages/normen/e32368c6c3-1761944172/normen-voor-de-erkenning-van-goede-doelen-ingaande-1-januari-2026.pdf</w:t>
        </w:r>
      </w:hyperlink>
      <w:r w:rsidRPr="007850E3">
        <w:t xml:space="preserve">. </w:t>
      </w:r>
    </w:p>
  </w:footnote>
  <w:footnote w:id="3">
    <w:p w14:paraId="6E5656D6" w14:textId="77777777" w:rsidR="007A4B4B" w:rsidRPr="007850E3" w:rsidRDefault="007A4B4B" w:rsidP="007A4B4B">
      <w:pPr>
        <w:rPr>
          <w:sz w:val="13"/>
          <w:szCs w:val="13"/>
        </w:rPr>
      </w:pPr>
      <w:r w:rsidRPr="007850E3">
        <w:rPr>
          <w:rStyle w:val="Voetnootmarkering"/>
          <w:sz w:val="13"/>
          <w:szCs w:val="13"/>
        </w:rPr>
        <w:footnoteRef/>
      </w:r>
      <w:r w:rsidRPr="007850E3">
        <w:rPr>
          <w:sz w:val="13"/>
          <w:szCs w:val="13"/>
        </w:rPr>
        <w:t xml:space="preserve"> Burgerlijk Wetboek, boek 2, artikelen 35, 36 en boek 6, artikelen 236, 237.</w:t>
      </w:r>
    </w:p>
  </w:footnote>
  <w:footnote w:id="4">
    <w:p w14:paraId="014E3546" w14:textId="77777777" w:rsidR="007A4B4B" w:rsidRPr="007850E3" w:rsidRDefault="007A4B4B" w:rsidP="007A4B4B">
      <w:pPr>
        <w:pStyle w:val="Voetnoottekst"/>
      </w:pPr>
      <w:r w:rsidRPr="007850E3">
        <w:rPr>
          <w:rStyle w:val="Voetnootmarkering"/>
        </w:rPr>
        <w:footnoteRef/>
      </w:r>
      <w:r w:rsidRPr="007850E3">
        <w:t xml:space="preserve"> Normen voor de erkenning van Goede Doelen, norm 2.3.5. </w:t>
      </w:r>
      <w:hyperlink r:id="rId2" w:history="1">
        <w:r w:rsidRPr="007850E3">
          <w:rPr>
            <w:rStyle w:val="Hyperlink"/>
            <w:color w:val="auto"/>
          </w:rPr>
          <w:t>https://commissienormstelling.nl/media/pages/normen/e32368c6c3-1761944172/normen-voor-de-erkenning-van-goede-doelen-ingaande-1-januari-2026.pdf</w:t>
        </w:r>
      </w:hyperlink>
      <w:r w:rsidRPr="007850E3">
        <w:t>.</w:t>
      </w:r>
    </w:p>
  </w:footnote>
  <w:footnote w:id="5">
    <w:p w14:paraId="305E76B4" w14:textId="77777777" w:rsidR="007A4B4B" w:rsidRPr="004D06CD" w:rsidRDefault="007A4B4B" w:rsidP="007A4B4B">
      <w:pPr>
        <w:pStyle w:val="Voetnoottekst"/>
      </w:pPr>
      <w:r w:rsidRPr="007850E3">
        <w:rPr>
          <w:rStyle w:val="Voetnootmarkering"/>
        </w:rPr>
        <w:footnoteRef/>
      </w:r>
      <w:r w:rsidRPr="007850E3">
        <w:t xml:space="preserve"> Code Telemarketing (CTM) 2024 artikel 3, eerste lid </w:t>
      </w:r>
      <w:hyperlink r:id="rId3" w:anchor="code-telemarketing--ctm--2024" w:history="1">
        <w:r w:rsidRPr="007850E3">
          <w:rPr>
            <w:rStyle w:val="Hyperlink"/>
            <w:color w:val="auto"/>
          </w:rPr>
          <w:t>https://www.reclamecode.nl/nederlandse-reclame-code/bijzondere-reclamecodes/#code-telemarketing--ctm--2024</w:t>
        </w:r>
      </w:hyperlink>
      <w:r w:rsidRPr="007850E3">
        <w:t xml:space="preserve">. </w:t>
      </w:r>
    </w:p>
  </w:footnote>
  <w:footnote w:id="6">
    <w:p w14:paraId="32FC9AAE" w14:textId="77777777" w:rsidR="007A4B4B" w:rsidRDefault="007A4B4B" w:rsidP="007A4B4B">
      <w:pPr>
        <w:pStyle w:val="Voetnoottekst"/>
      </w:pPr>
      <w:r>
        <w:rPr>
          <w:rStyle w:val="Voetnootmarkering"/>
        </w:rPr>
        <w:footnoteRef/>
      </w:r>
      <w:r>
        <w:t xml:space="preserve"> De Kamer heeft op 18 juni 2024 met brede steun de motie van het lid Zeedijk c.s. aangenomen (Kamerstukken II 2023/24, 27879, nr. 102). De motie vraagt om ideële of charitatieve instellingen, kerken, uitgevers van kranten, weekbladen en tijdschriften, alsmede zogenaamde loterijen die afdragen aan goede doelen, cultuur, welzijn, sport en samenleving uit te zonderen van overige aanvullende maatregelen die in de consumentenagenda zijn geformuleerd en een negatief effect hebben op hun fondsenwerving dan wel verkoop. Dit verzoek is door de Kamer op 22 januari jl. herhaald met het aannemen van de motie van het lid Van Lanschot (Kamerstukken 2025/26, 36 800 XIII, nr. 31).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63CC" w14:textId="77777777" w:rsidR="007A4B4B" w:rsidRPr="007A4B4B" w:rsidRDefault="007A4B4B" w:rsidP="007A4B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97C2" w14:textId="77777777" w:rsidR="007A4B4B" w:rsidRPr="007A4B4B" w:rsidRDefault="007A4B4B" w:rsidP="007A4B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5E70" w14:textId="77777777" w:rsidR="007A4B4B" w:rsidRPr="007A4B4B" w:rsidRDefault="007A4B4B" w:rsidP="007A4B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4B"/>
    <w:rsid w:val="007A4B4B"/>
    <w:rsid w:val="008817D0"/>
    <w:rsid w:val="00AF09D5"/>
    <w:rsid w:val="00F7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D4E3"/>
  <w15:chartTrackingRefBased/>
  <w15:docId w15:val="{6E7A4343-477F-4260-B3F3-671FC2EFB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4B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A4B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A4B4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A4B4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A4B4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A4B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4B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4B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4B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4B4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A4B4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A4B4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A4B4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A4B4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A4B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4B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4B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4B4B"/>
    <w:rPr>
      <w:rFonts w:eastAsiaTheme="majorEastAsia" w:cstheme="majorBidi"/>
      <w:color w:val="272727" w:themeColor="text1" w:themeTint="D8"/>
    </w:rPr>
  </w:style>
  <w:style w:type="paragraph" w:styleId="Titel">
    <w:name w:val="Title"/>
    <w:basedOn w:val="Standaard"/>
    <w:next w:val="Standaard"/>
    <w:link w:val="TitelChar"/>
    <w:uiPriority w:val="10"/>
    <w:qFormat/>
    <w:rsid w:val="007A4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4B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4B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4B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4B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4B4B"/>
    <w:rPr>
      <w:i/>
      <w:iCs/>
      <w:color w:val="404040" w:themeColor="text1" w:themeTint="BF"/>
    </w:rPr>
  </w:style>
  <w:style w:type="paragraph" w:styleId="Lijstalinea">
    <w:name w:val="List Paragraph"/>
    <w:basedOn w:val="Standaard"/>
    <w:uiPriority w:val="34"/>
    <w:qFormat/>
    <w:rsid w:val="007A4B4B"/>
    <w:pPr>
      <w:ind w:left="720"/>
      <w:contextualSpacing/>
    </w:pPr>
  </w:style>
  <w:style w:type="character" w:styleId="Intensievebenadrukking">
    <w:name w:val="Intense Emphasis"/>
    <w:basedOn w:val="Standaardalinea-lettertype"/>
    <w:uiPriority w:val="21"/>
    <w:qFormat/>
    <w:rsid w:val="007A4B4B"/>
    <w:rPr>
      <w:i/>
      <w:iCs/>
      <w:color w:val="2F5496" w:themeColor="accent1" w:themeShade="BF"/>
    </w:rPr>
  </w:style>
  <w:style w:type="paragraph" w:styleId="Duidelijkcitaat">
    <w:name w:val="Intense Quote"/>
    <w:basedOn w:val="Standaard"/>
    <w:next w:val="Standaard"/>
    <w:link w:val="DuidelijkcitaatChar"/>
    <w:uiPriority w:val="30"/>
    <w:qFormat/>
    <w:rsid w:val="007A4B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A4B4B"/>
    <w:rPr>
      <w:i/>
      <w:iCs/>
      <w:color w:val="2F5496" w:themeColor="accent1" w:themeShade="BF"/>
    </w:rPr>
  </w:style>
  <w:style w:type="character" w:styleId="Intensieveverwijzing">
    <w:name w:val="Intense Reference"/>
    <w:basedOn w:val="Standaardalinea-lettertype"/>
    <w:uiPriority w:val="32"/>
    <w:qFormat/>
    <w:rsid w:val="007A4B4B"/>
    <w:rPr>
      <w:b/>
      <w:bCs/>
      <w:smallCaps/>
      <w:color w:val="2F5496" w:themeColor="accent1" w:themeShade="BF"/>
      <w:spacing w:val="5"/>
    </w:rPr>
  </w:style>
  <w:style w:type="character" w:styleId="Hyperlink">
    <w:name w:val="Hyperlink"/>
    <w:basedOn w:val="Standaardalinea-lettertype"/>
    <w:uiPriority w:val="99"/>
    <w:unhideWhenUsed/>
    <w:rsid w:val="007A4B4B"/>
    <w:rPr>
      <w:color w:val="0563C1" w:themeColor="hyperlink"/>
      <w:u w:val="single"/>
    </w:rPr>
  </w:style>
  <w:style w:type="paragraph" w:styleId="Voetnoottekst">
    <w:name w:val="footnote text"/>
    <w:link w:val="VoetnoottekstChar"/>
    <w:rsid w:val="007A4B4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A4B4B"/>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A4B4B"/>
    <w:rPr>
      <w:vertAlign w:val="superscript"/>
    </w:rPr>
  </w:style>
  <w:style w:type="paragraph" w:styleId="Koptekst">
    <w:name w:val="header"/>
    <w:basedOn w:val="Standaard"/>
    <w:link w:val="KoptekstChar"/>
    <w:uiPriority w:val="99"/>
    <w:unhideWhenUsed/>
    <w:rsid w:val="007A4B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4B4B"/>
  </w:style>
  <w:style w:type="paragraph" w:styleId="Voettekst">
    <w:name w:val="footer"/>
    <w:basedOn w:val="Standaard"/>
    <w:link w:val="VoettekstChar"/>
    <w:uiPriority w:val="99"/>
    <w:unhideWhenUsed/>
    <w:rsid w:val="007A4B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4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eclamecode.nl/nederlandse-reclame-code/bijzondere-reclamecodes/" TargetMode="External"/><Relationship Id="rId2" Type="http://schemas.openxmlformats.org/officeDocument/2006/relationships/hyperlink" Target="https://commissienormstelling.nl/media/pages/normen/e32368c6c3-1761944172/normen-voor-de-erkenning-van-goede-doelen-ingaande-1-januari-2026.pdf" TargetMode="External"/><Relationship Id="rId1" Type="http://schemas.openxmlformats.org/officeDocument/2006/relationships/hyperlink" Target="https://commissienormstelling.nl/media/pages/normen/e32368c6c3-1761944172/normen-voor-de-erkenning-van-goede-doelen-ingaande-1-januari-2026.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1375</ap:Words>
  <ap:Characters>7564</ap:Characters>
  <ap:DocSecurity>0</ap:DocSecurity>
  <ap:Lines>63</ap:Lines>
  <ap:Paragraphs>17</ap:Paragraphs>
  <ap:ScaleCrop>false</ap:ScaleCrop>
  <ap:LinksUpToDate>false</ap:LinksUpToDate>
  <ap:CharactersWithSpaces>8922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2026-08-18T12:53:00.0000000Z</dcterms:created>
  <dcterms:modified xsi:type="dcterms:W3CDTF">2026-08-18T12:53:00.0000000Z</dcterms:modified>
  <version/>
  <category/>
</coreProperties>
</file>