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2026Z16989</w:t>
        <w:br/>
      </w:r>
      <w:proofErr w:type="spellEnd"/>
    </w:p>
    <w:p>
      <w:pPr>
        <w:pStyle w:val="Normal"/>
        <w:rPr>
          <w:b w:val="1"/>
          <w:bCs w:val="1"/>
        </w:rPr>
      </w:pPr>
      <w:r w:rsidR="250AE766">
        <w:rPr>
          <w:b w:val="0"/>
          <w:bCs w:val="0"/>
        </w:rPr>
        <w:t>(ingezonden 18 augustus 2026)</w:t>
        <w:br/>
      </w:r>
    </w:p>
    <w:p>
      <w:r>
        <w:t xml:space="preserve">Vragen van het lid Oosterhuis (D66) aan de staatssecretaris van Financiën over het verzamelbesluit lijfrenten en andere periodieke uitkeringen</w:t>
      </w:r>
      <w:r>
        <w:br/>
      </w:r>
    </w:p>
    <w:p>
      <w:r>
        <w:t xml:space="preserve"> </w:t>
      </w:r>
      <w:r>
        <w:br/>
      </w:r>
    </w:p>
    <w:p>
      <w:pPr>
        <w:pStyle w:val="ListParagraph"/>
        <w:numPr>
          <w:ilvl w:val="0"/>
          <w:numId w:val="100516220"/>
        </w:numPr>
        <w:ind w:left="360"/>
      </w:pPr>
      <w:r>
        <w:t xml:space="preserve">Wat is de reden geweest voor het wijzigen van het Verzamelbesluit lijfrenten en andere periodieke uitkeringen in maart 2026 en specifiek het schrappen van onderdeel 2.4 en 2.5, waardoor mensen, die een fout hebben gemaakt in het overboeken van geld naar hun lijfrenterekening in plaats van een spaarrekening, deze fout niet meer kunnen herstellen zonder fiscale gevolgen?</w:t>
      </w:r>
      <w:r>
        <w:br/>
      </w:r>
    </w:p>
    <w:p>
      <w:pPr>
        <w:pStyle w:val="ListParagraph"/>
        <w:numPr>
          <w:ilvl w:val="0"/>
          <w:numId w:val="100516220"/>
        </w:numPr>
        <w:ind w:left="360"/>
      </w:pPr>
      <w:r>
        <w:t xml:space="preserve">Hoe vaak werd een beroep gedaan op het herstel van een foutieve overboeking of een geruisloze terugstorting van te veel betaalde premie of te hoge inleg, op grond van de vervallen artikelen 2.4 en 2.5?</w:t>
      </w:r>
      <w:r>
        <w:br/>
      </w:r>
    </w:p>
    <w:p>
      <w:pPr>
        <w:pStyle w:val="ListParagraph"/>
        <w:numPr>
          <w:ilvl w:val="0"/>
          <w:numId w:val="100516220"/>
        </w:numPr>
        <w:ind w:left="360"/>
      </w:pPr>
      <w:r>
        <w:t xml:space="preserve">Zijn de gevolgen voor belastingplichtigen, die hun situatie pas na de beleidswijziging konden vaststellen, vooraf onderzocht?</w:t>
      </w:r>
      <w:r>
        <w:br/>
      </w:r>
    </w:p>
    <w:p>
      <w:pPr>
        <w:pStyle w:val="ListParagraph"/>
        <w:numPr>
          <w:ilvl w:val="0"/>
          <w:numId w:val="100516220"/>
        </w:numPr>
        <w:ind w:left="360"/>
      </w:pPr>
      <w:r>
        <w:t xml:space="preserve">Klopt het dat huishoudens geen bezwaar kunnen maken en dat het hardheidsbeginsel niet van toepassing is?  </w:t>
      </w:r>
      <w:r>
        <w:br/>
      </w:r>
    </w:p>
    <w:p>
      <w:pPr>
        <w:pStyle w:val="ListParagraph"/>
        <w:numPr>
          <w:ilvl w:val="0"/>
          <w:numId w:val="100516220"/>
        </w:numPr>
        <w:ind w:left="360"/>
      </w:pPr>
      <w:r>
        <w:t xml:space="preserve">Waarom is er bij het schrappen van deze onderdelen niet gekozen voor het opnemen van overgangsrecht?</w:t>
      </w:r>
      <w:r>
        <w:br/>
      </w:r>
    </w:p>
    <w:p>
      <w:pPr>
        <w:pStyle w:val="ListParagraph"/>
        <w:numPr>
          <w:ilvl w:val="0"/>
          <w:numId w:val="100516220"/>
        </w:numPr>
        <w:ind w:left="360"/>
      </w:pPr>
      <w:r>
        <w:t xml:space="preserve">Wat is het effect op de regeling wanneer de oude onderdelen 2.4 en 2.5, waarmee ruimte wordt geboden om tijdelijk een fout te maken in het overboeken van en naar de lijfrenterekening, worden hersteld? Bent u hiertoe bereid?</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614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6140">
    <w:abstractNumId w:val="10051614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