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2026Z17164</w:t>
        <w:br/>
      </w:r>
      <w:proofErr w:type="spellEnd"/>
    </w:p>
    <w:p>
      <w:pPr>
        <w:pStyle w:val="Normal"/>
        <w:rPr>
          <w:b w:val="1"/>
          <w:bCs w:val="1"/>
        </w:rPr>
      </w:pPr>
      <w:r w:rsidR="250AE766">
        <w:rPr>
          <w:b w:val="0"/>
          <w:bCs w:val="0"/>
        </w:rPr>
        <w:t>(ingezonden 24 augustus 2026)</w:t>
        <w:br/>
      </w:r>
    </w:p>
    <w:p>
      <w:r>
        <w:t xml:space="preserve">Vragen van de leden Bolhuis (PRO) en Van Ark (CDA) aan de minister van Sociale Zaken en Werkgelegenheid over het misgelopen pensioencompensatie door deelnemers die van fonds wisselen</w:t>
      </w:r>
      <w:r>
        <w:br/>
      </w:r>
    </w:p>
    <w:p>
      <w:r>
        <w:t xml:space="preserve">1. Bent u bekend met het Volkskrant-bericht ‘Tienduizenden mensen lopen pensioengeld mis omdat ze van baan zijn gewisseld – en daar lijkt niks tegen te doen’? 1)</w:t>
      </w:r>
      <w:r>
        <w:br/>
      </w:r>
    </w:p>
    <w:p>
      <w:r>
        <w:t xml:space="preserve">2. Deelt u de zorg dat deelnemers door de samenloop van verschillende transitiedata tussen twee compensatieregelingen kunnen vallen, dat dit tot moeilijk uitlegbare uitkomsten kan leiden en een onbedoelde belemmering kan vormen om van baan te wisselen? Hoe verhoudt dit zich tot de inzet van het kabinet voor een gedragen pensioenstelseltransitie en juist de bevordering van de stap van werk naar werk?</w:t>
      </w:r>
      <w:r>
        <w:br/>
      </w:r>
    </w:p>
    <w:p>
      <w:r>
        <w:t xml:space="preserve">3. Deelt u de mening dat kabinet, sociale partners en pensioensector vanuit hun gedeelde verantwoordelijkheid voor het Pensioenakkoord een uiterste inspanning moeten doen om te komen tot gerichte, juridisch houdbare en uitvoerbare oplossingen voor deze situatie?</w:t>
      </w:r>
      <w:r>
        <w:br/>
      </w:r>
    </w:p>
    <w:p>
      <w:r>
        <w:t xml:space="preserve">4. Is het mogelijk om – eventueel nadat alle pensioenfondsen zijn overgestapt naar de nieuwe pensioenregeling – uit de fondsadministraties te achterhalen welke deelnemers door een overstap tussen twee compensatieregelingen zijn gevallen of welke juist twee compensatieregelingen hebben ontvangen? Zo ja, hoe? Zo nee, waarom niet?</w:t>
      </w:r>
      <w:r>
        <w:br/>
      </w:r>
    </w:p>
    <w:p>
      <w:r>
        <w:t xml:space="preserve">5. Kunt u een inschatting geven hoe hoog de door u in een eerdere Kamerbrief benoemde “enorme kosten” zijn van een compensatievoorziening, vereveningsmodel of vangnetregeling die de sector uitdenkt en uitvoert, en waar u deze inschatting op baseert? Kunt u daarbij aangeven om welke orde van grootte het gaat, wie deze kosten uiteindelijk zou dragen en wat de gevolgen zouden zijn voor het deelnemerscollectief?  2)</w:t>
      </w:r>
      <w:r>
        <w:br/>
      </w:r>
    </w:p>
    <w:p>
      <w:r>
        <w:t xml:space="preserve">6. Op welke wijze kunt u de wettelijke mogelijkheid tot dispensatie voor tijdelijke voortzetting bij het oude pensioenfonds tijdelijk verruimen voor de groep overstappers die tussen twee compensatieregelingen invallen, ten behoeve van een rechtvaardige transitie naar het nieuwe pensioenstelsel?</w:t>
      </w:r>
      <w:r>
        <w:br/>
      </w:r>
    </w:p>
    <w:p>
      <w:r>
        <w:t xml:space="preserve">7. Kunt u samen met de pensioensector en sociale partners varianten van een compensatievoorziening, vereveningsmodel of vangnetregeling uitwerken, inclusief inschattingen van de verwachte complexiteit, kosten, uitvoeringsbelasting en deelnemersbereik, zodat de regering en Kamer hierover van gedachten kunnen wisselen?</w:t>
      </w:r>
      <w:r>
        <w:br/>
      </w:r>
    </w:p>
    <w:p>
      <w:r>
        <w:t xml:space="preserve">8. Kunt u een nauwkeurigere kwantitatieve inschatting maken van de grootte van de groep die compensatie misloopt, en van de door deze groep misgelopen compensatie, dan u eerder deed in uw Kamerbrief? 2) Zo nee, waarom niet?</w:t>
      </w:r>
      <w:r>
        <w:br/>
      </w:r>
    </w:p>
    <w:p>
      <w:r>
        <w:t xml:space="preserve">9. In hoeverre zijn de door u in uw Kamerbrief genoemde maatwerkoplossingen bij PMT/PME en BpfBOUW en in enkele sociale plannen representatief voor de pensioensector, of betreft het uitzonderingen?</w:t>
      </w:r>
      <w:r>
        <w:br/>
      </w:r>
    </w:p>
    <w:p>
      <w:r>
        <w:t xml:space="preserve">10. Hoe groot is de groep pensioendeelnemers die ondanks de genoemde maatwerkoplossingen alsnog compensatie misloopt? Welke mogelijkheden ziet u om deze groep tegemoet te komen en te waarborgen dat de transitie ook voor hen rechtvaardig uitpakt?</w:t>
      </w:r>
      <w:r>
        <w:br/>
      </w:r>
    </w:p>
    <w:p>
      <w:r>
        <w:t xml:space="preserve">11. Kunt u ook een nauwkeurigere inschatting maken van de grootte van de groepen overstappers met ‘dubbele compensatie’ en van de ontvangen compensatie van deze overstappers?</w:t>
      </w:r>
      <w:r>
        <w:br/>
      </w:r>
    </w:p>
    <w:p>
      <w:r>
        <w:t xml:space="preserve">12.  Welke aanvullende communicatie gaat het ministerie in de komende periode intensiveren om mensen naar www.pensioenduidelijkheid.nl te leiden en te wijzen op eventuele gevolgen voor compensatie van arbeidsmarktgedrag, en waarom is deze communicatie niet eerder ingezet?</w:t>
      </w:r>
      <w:r>
        <w:br/>
      </w:r>
    </w:p>
    <w:p>
      <w:r>
        <w:t xml:space="preserve">13. Klopt het dat deze aanvullende communicatie te laat komt voor de tienduizenden deelnemers die pensioencompensatie mislopen, omdat zij al overgestapt zijn?</w:t>
      </w:r>
      <w:r>
        <w:br/>
      </w:r>
    </w:p>
    <w:p>
      <w:r>
        <w:t xml:space="preserve">14. Kunt u deze vragen beantwoorden voor het commissiedebat Pensioenonderwerpen op 10 september?</w:t>
      </w:r>
      <w:r>
        <w:br/>
      </w:r>
    </w:p>
    <w:p>
      <w:r>
        <w:t xml:space="preserve"> </w:t>
      </w:r>
      <w:r>
        <w:br/>
      </w:r>
    </w:p>
    <w:p>
      <w:r>
        <w:t xml:space="preserve">1) De Volkskrant, 18 augustus 2026, </w:t>
      </w:r>
      <w:r>
        <w:rPr>
          <w:i w:val="1"/>
          <w:iCs w:val="1"/>
        </w:rPr>
        <w:t xml:space="preserve">'</w:t>
      </w:r>
      <w:r>
        <w:rPr/>
        <w:t xml:space="preserve">Tienduizenden mensen lopen pensioengeld mis omdat ze van baan zijn gewisseld – en daar lijkt niks tegen te doen</w:t>
      </w:r>
      <w:r>
        <w:rPr>
          <w:i w:val="1"/>
          <w:iCs w:val="1"/>
        </w:rPr>
        <w:t xml:space="preserve">',</w:t>
      </w:r>
      <w:r>
        <w:rPr/>
        <w:t xml:space="preserve"> www.volkskrant.nl/politiek/tienduizenden-mensen-lopen-pensioengeld-mis-omdat-ze-van-baan-zijn-gewisseld-en-daar-lijkt-niks-tegen-te-doen~b601cada/</w:t>
      </w:r>
      <w:r>
        <w:br/>
      </w:r>
    </w:p>
    <w:p>
      <w:r>
        <w:t xml:space="preserve">2) Kamerstuk 32 043, nr. 714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450">
    <w:abstractNumId w:val="100516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